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E2FA" w14:textId="5421BFA8" w:rsidR="00F26A7A" w:rsidRPr="00AA153B" w:rsidRDefault="00F26A7A" w:rsidP="00AA153B">
      <w:pPr>
        <w:jc w:val="center"/>
        <w:rPr>
          <w:rFonts w:ascii="Times New Roman" w:hAnsi="Times New Roman"/>
          <w:b/>
          <w:iCs/>
          <w:color w:val="4472C4" w:themeColor="accent1"/>
          <w:sz w:val="24"/>
          <w:szCs w:val="24"/>
          <w:u w:val="single"/>
        </w:rPr>
      </w:pPr>
      <w:r w:rsidRPr="00425AA7">
        <w:rPr>
          <w:rFonts w:ascii="Times New Roman" w:hAnsi="Times New Roman"/>
          <w:b/>
          <w:iCs/>
          <w:color w:val="4472C4" w:themeColor="accent1"/>
          <w:sz w:val="24"/>
          <w:szCs w:val="24"/>
          <w:u w:val="single"/>
        </w:rPr>
        <w:t>Supplement 2</w:t>
      </w:r>
      <w:r w:rsidR="00B52C49">
        <w:rPr>
          <w:rFonts w:ascii="Times New Roman" w:hAnsi="Times New Roman"/>
          <w:b/>
          <w:iCs/>
          <w:color w:val="4472C4" w:themeColor="accent1"/>
          <w:sz w:val="24"/>
          <w:szCs w:val="24"/>
          <w:u w:val="single"/>
        </w:rPr>
        <w:t xml:space="preserve"> Table 1</w:t>
      </w:r>
      <w:r w:rsidR="00AA153B">
        <w:rPr>
          <w:rFonts w:ascii="Times New Roman" w:hAnsi="Times New Roman"/>
          <w:b/>
          <w:iCs/>
          <w:color w:val="4472C4" w:themeColor="accent1"/>
          <w:sz w:val="24"/>
          <w:szCs w:val="24"/>
          <w:u w:val="single"/>
        </w:rPr>
        <w:t>.</w:t>
      </w:r>
      <w:r w:rsidRPr="00425AA7">
        <w:rPr>
          <w:rFonts w:ascii="Times New Roman" w:hAnsi="Times New Roman"/>
          <w:b/>
          <w:iCs/>
          <w:color w:val="4472C4" w:themeColor="accent1"/>
          <w:sz w:val="24"/>
          <w:szCs w:val="24"/>
          <w:u w:val="single"/>
        </w:rPr>
        <w:t xml:space="preserve"> 40 selected statements</w:t>
      </w:r>
      <w:r w:rsidR="00067C3E">
        <w:rPr>
          <w:rFonts w:ascii="Times New Roman" w:hAnsi="Times New Roman"/>
          <w:b/>
          <w:iCs/>
          <w:color w:val="4472C4" w:themeColor="accent1"/>
          <w:sz w:val="24"/>
          <w:szCs w:val="24"/>
          <w:u w:val="single"/>
        </w:rPr>
        <w:t xml:space="preserve"> with I-ICVI ratings</w:t>
      </w:r>
      <w:r w:rsidR="008C5E73">
        <w:rPr>
          <w:rFonts w:ascii="Times New Roman" w:hAnsi="Times New Roman"/>
          <w:b/>
          <w:iCs/>
          <w:color w:val="4472C4" w:themeColor="accent1"/>
          <w:sz w:val="24"/>
          <w:szCs w:val="24"/>
          <w:u w:val="single"/>
        </w:rPr>
        <w:t xml:space="preserve"> and statement edits</w:t>
      </w:r>
    </w:p>
    <w:p w14:paraId="485FB59B" w14:textId="77777777" w:rsidR="00F26A7A" w:rsidRPr="00425AA7" w:rsidRDefault="00F26A7A" w:rsidP="00F26A7A">
      <w:pPr>
        <w:pStyle w:val="NormalWeb"/>
        <w:ind w:left="709"/>
        <w:rPr>
          <w:rFonts w:ascii="Times New Roman" w:hAnsi="Times New Roman"/>
          <w:b/>
          <w:bCs/>
          <w:sz w:val="24"/>
        </w:rPr>
      </w:pPr>
    </w:p>
    <w:tbl>
      <w:tblPr>
        <w:tblW w:w="907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134"/>
        <w:gridCol w:w="426"/>
        <w:gridCol w:w="3685"/>
        <w:gridCol w:w="1134"/>
        <w:gridCol w:w="2693"/>
      </w:tblGrid>
      <w:tr w:rsidR="00F26A7A" w:rsidRPr="00425AA7" w14:paraId="21E50128" w14:textId="77777777" w:rsidTr="0050100A">
        <w:trPr>
          <w:jc w:val="center"/>
        </w:trPr>
        <w:tc>
          <w:tcPr>
            <w:tcW w:w="1134" w:type="dxa"/>
            <w:tcBorders>
              <w:top w:val="single" w:sz="8" w:space="0" w:color="auto"/>
              <w:bottom w:val="single" w:sz="4" w:space="0" w:color="auto"/>
            </w:tcBorders>
            <w:shd w:val="clear" w:color="auto" w:fill="auto"/>
            <w:vAlign w:val="center"/>
          </w:tcPr>
          <w:p w14:paraId="675031F5" w14:textId="77777777" w:rsidR="00F26A7A" w:rsidRPr="00425AA7" w:rsidRDefault="00F26A7A" w:rsidP="0050100A">
            <w:pPr>
              <w:pStyle w:val="MDPI42tablebody"/>
              <w:jc w:val="left"/>
              <w:rPr>
                <w:rFonts w:ascii="Times New Roman" w:hAnsi="Times New Roman"/>
                <w:b/>
                <w:bCs/>
                <w:sz w:val="24"/>
                <w:szCs w:val="24"/>
              </w:rPr>
            </w:pPr>
            <w:r w:rsidRPr="00425AA7">
              <w:rPr>
                <w:rFonts w:ascii="Times New Roman" w:hAnsi="Times New Roman"/>
                <w:b/>
                <w:bCs/>
                <w:sz w:val="24"/>
                <w:szCs w:val="24"/>
              </w:rPr>
              <w:t>Cluster</w:t>
            </w:r>
          </w:p>
        </w:tc>
        <w:tc>
          <w:tcPr>
            <w:tcW w:w="426" w:type="dxa"/>
            <w:tcBorders>
              <w:top w:val="single" w:sz="8" w:space="0" w:color="auto"/>
              <w:bottom w:val="single" w:sz="4" w:space="0" w:color="auto"/>
            </w:tcBorders>
            <w:shd w:val="clear" w:color="auto" w:fill="auto"/>
            <w:vAlign w:val="center"/>
          </w:tcPr>
          <w:p w14:paraId="0A9965CA" w14:textId="77777777" w:rsidR="00F26A7A" w:rsidRPr="00425AA7" w:rsidRDefault="00F26A7A" w:rsidP="0050100A">
            <w:pPr>
              <w:pStyle w:val="MDPI42tablebody"/>
              <w:jc w:val="both"/>
              <w:rPr>
                <w:rFonts w:ascii="Times New Roman" w:hAnsi="Times New Roman"/>
                <w:b/>
                <w:bCs/>
                <w:sz w:val="24"/>
                <w:szCs w:val="24"/>
              </w:rPr>
            </w:pPr>
            <w:r w:rsidRPr="00425AA7">
              <w:rPr>
                <w:rFonts w:ascii="Times New Roman" w:hAnsi="Times New Roman"/>
                <w:b/>
                <w:bCs/>
                <w:sz w:val="24"/>
                <w:szCs w:val="24"/>
              </w:rPr>
              <w:t>No</w:t>
            </w:r>
          </w:p>
        </w:tc>
        <w:tc>
          <w:tcPr>
            <w:tcW w:w="3685" w:type="dxa"/>
            <w:tcBorders>
              <w:top w:val="single" w:sz="8" w:space="0" w:color="auto"/>
              <w:bottom w:val="single" w:sz="4" w:space="0" w:color="auto"/>
            </w:tcBorders>
          </w:tcPr>
          <w:p w14:paraId="39E2AB6F" w14:textId="77777777" w:rsidR="00F26A7A" w:rsidRPr="00425AA7" w:rsidRDefault="00F26A7A" w:rsidP="0050100A">
            <w:pPr>
              <w:pStyle w:val="MDPI42tablebody"/>
              <w:jc w:val="left"/>
              <w:rPr>
                <w:rFonts w:ascii="Times New Roman" w:hAnsi="Times New Roman"/>
                <w:b/>
                <w:bCs/>
                <w:sz w:val="24"/>
                <w:szCs w:val="24"/>
              </w:rPr>
            </w:pPr>
            <w:r w:rsidRPr="00425AA7">
              <w:rPr>
                <w:rFonts w:ascii="Times New Roman" w:hAnsi="Times New Roman"/>
                <w:b/>
                <w:bCs/>
                <w:sz w:val="24"/>
                <w:szCs w:val="24"/>
              </w:rPr>
              <w:t>Statement</w:t>
            </w:r>
          </w:p>
        </w:tc>
        <w:tc>
          <w:tcPr>
            <w:tcW w:w="1134" w:type="dxa"/>
            <w:tcBorders>
              <w:top w:val="single" w:sz="8" w:space="0" w:color="auto"/>
              <w:bottom w:val="single" w:sz="4" w:space="0" w:color="auto"/>
            </w:tcBorders>
          </w:tcPr>
          <w:p w14:paraId="47D78BE1" w14:textId="77777777" w:rsidR="00F26A7A" w:rsidRPr="00425AA7" w:rsidRDefault="00F26A7A" w:rsidP="0050100A">
            <w:pPr>
              <w:pStyle w:val="MDPI42tablebody"/>
              <w:rPr>
                <w:rFonts w:ascii="Times New Roman" w:hAnsi="Times New Roman"/>
                <w:b/>
                <w:bCs/>
                <w:sz w:val="24"/>
                <w:szCs w:val="24"/>
              </w:rPr>
            </w:pPr>
            <w:r w:rsidRPr="00425AA7">
              <w:rPr>
                <w:rFonts w:ascii="Times New Roman" w:hAnsi="Times New Roman"/>
                <w:b/>
                <w:bCs/>
                <w:sz w:val="24"/>
                <w:szCs w:val="24"/>
              </w:rPr>
              <w:t>I-CVI</w:t>
            </w:r>
          </w:p>
        </w:tc>
        <w:tc>
          <w:tcPr>
            <w:tcW w:w="2693" w:type="dxa"/>
            <w:tcBorders>
              <w:top w:val="single" w:sz="8" w:space="0" w:color="auto"/>
              <w:bottom w:val="single" w:sz="4" w:space="0" w:color="auto"/>
            </w:tcBorders>
            <w:shd w:val="clear" w:color="auto" w:fill="auto"/>
            <w:vAlign w:val="center"/>
          </w:tcPr>
          <w:p w14:paraId="331E0650" w14:textId="77777777" w:rsidR="00F26A7A" w:rsidRPr="00425AA7" w:rsidRDefault="00F26A7A" w:rsidP="0050100A">
            <w:pPr>
              <w:pStyle w:val="MDPI42tablebody"/>
              <w:rPr>
                <w:rFonts w:ascii="Times New Roman" w:hAnsi="Times New Roman"/>
                <w:b/>
                <w:bCs/>
                <w:sz w:val="24"/>
                <w:szCs w:val="24"/>
              </w:rPr>
            </w:pPr>
            <w:r w:rsidRPr="00425AA7">
              <w:rPr>
                <w:rFonts w:ascii="Times New Roman" w:hAnsi="Times New Roman"/>
                <w:b/>
                <w:bCs/>
                <w:sz w:val="24"/>
                <w:szCs w:val="24"/>
              </w:rPr>
              <w:t>Edited Statement</w:t>
            </w:r>
          </w:p>
        </w:tc>
      </w:tr>
      <w:tr w:rsidR="00F26A7A" w:rsidRPr="00425AA7" w14:paraId="17AD1734" w14:textId="77777777" w:rsidTr="0050100A">
        <w:trPr>
          <w:jc w:val="center"/>
        </w:trPr>
        <w:tc>
          <w:tcPr>
            <w:tcW w:w="1134" w:type="dxa"/>
            <w:vMerge w:val="restart"/>
            <w:tcBorders>
              <w:top w:val="single" w:sz="4" w:space="0" w:color="auto"/>
              <w:left w:val="nil"/>
              <w:bottom w:val="nil"/>
              <w:right w:val="nil"/>
            </w:tcBorders>
            <w:shd w:val="clear" w:color="auto" w:fill="auto"/>
            <w:hideMark/>
          </w:tcPr>
          <w:p w14:paraId="696A2A0E"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Context</w:t>
            </w:r>
          </w:p>
          <w:p w14:paraId="28DC42B7"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(Use case)</w:t>
            </w:r>
          </w:p>
        </w:tc>
        <w:tc>
          <w:tcPr>
            <w:tcW w:w="426" w:type="dxa"/>
            <w:tcBorders>
              <w:top w:val="single" w:sz="4" w:space="0" w:color="auto"/>
              <w:left w:val="nil"/>
              <w:bottom w:val="nil"/>
              <w:right w:val="nil"/>
            </w:tcBorders>
            <w:shd w:val="clear" w:color="auto" w:fill="auto"/>
            <w:hideMark/>
          </w:tcPr>
          <w:p w14:paraId="24F821FA"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w:t>
            </w:r>
          </w:p>
        </w:tc>
        <w:tc>
          <w:tcPr>
            <w:tcW w:w="3685" w:type="dxa"/>
            <w:tcBorders>
              <w:top w:val="single" w:sz="4" w:space="0" w:color="auto"/>
              <w:left w:val="nil"/>
              <w:bottom w:val="nil"/>
              <w:right w:val="nil"/>
            </w:tcBorders>
          </w:tcPr>
          <w:p w14:paraId="5E3C2FD6"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Microscopy using a concentration technique is the recommended method to prove active schistosomiasis, despite its low sensitivity and need for expert users. </w:t>
            </w:r>
          </w:p>
        </w:tc>
        <w:tc>
          <w:tcPr>
            <w:tcW w:w="1134" w:type="dxa"/>
            <w:tcBorders>
              <w:top w:val="single" w:sz="4" w:space="0" w:color="auto"/>
              <w:left w:val="nil"/>
              <w:bottom w:val="nil"/>
              <w:right w:val="nil"/>
            </w:tcBorders>
            <w:shd w:val="clear" w:color="auto" w:fill="auto"/>
          </w:tcPr>
          <w:p w14:paraId="4604118A"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0.88</w:t>
            </w:r>
          </w:p>
        </w:tc>
        <w:tc>
          <w:tcPr>
            <w:tcW w:w="2693" w:type="dxa"/>
            <w:tcBorders>
              <w:top w:val="single" w:sz="4" w:space="0" w:color="auto"/>
              <w:left w:val="nil"/>
              <w:bottom w:val="nil"/>
              <w:right w:val="nil"/>
            </w:tcBorders>
            <w:shd w:val="clear" w:color="auto" w:fill="auto"/>
          </w:tcPr>
          <w:p w14:paraId="2521AB15"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75F7B2FB" w14:textId="77777777" w:rsidTr="0050100A">
        <w:trPr>
          <w:jc w:val="center"/>
        </w:trPr>
        <w:tc>
          <w:tcPr>
            <w:tcW w:w="1134" w:type="dxa"/>
            <w:vMerge/>
            <w:tcBorders>
              <w:top w:val="nil"/>
              <w:left w:val="nil"/>
              <w:bottom w:val="nil"/>
              <w:right w:val="nil"/>
            </w:tcBorders>
            <w:shd w:val="clear" w:color="auto" w:fill="auto"/>
            <w:vAlign w:val="center"/>
          </w:tcPr>
          <w:p w14:paraId="665FDFCF"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0719F1B4"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w:t>
            </w:r>
          </w:p>
        </w:tc>
        <w:tc>
          <w:tcPr>
            <w:tcW w:w="3685" w:type="dxa"/>
            <w:tcBorders>
              <w:top w:val="nil"/>
              <w:left w:val="nil"/>
              <w:bottom w:val="nil"/>
              <w:right w:val="nil"/>
            </w:tcBorders>
          </w:tcPr>
          <w:p w14:paraId="095A3047"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Diagnosis should include the identification of Schistosoma parasites in both humans and water sources that may be contaminated.</w:t>
            </w:r>
          </w:p>
        </w:tc>
        <w:tc>
          <w:tcPr>
            <w:tcW w:w="1134" w:type="dxa"/>
            <w:tcBorders>
              <w:top w:val="nil"/>
              <w:left w:val="nil"/>
              <w:bottom w:val="nil"/>
              <w:right w:val="nil"/>
            </w:tcBorders>
            <w:shd w:val="clear" w:color="auto" w:fill="auto"/>
          </w:tcPr>
          <w:p w14:paraId="63FADBDF"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0.75</w:t>
            </w:r>
          </w:p>
        </w:tc>
        <w:tc>
          <w:tcPr>
            <w:tcW w:w="2693" w:type="dxa"/>
            <w:tcBorders>
              <w:top w:val="nil"/>
              <w:left w:val="nil"/>
              <w:bottom w:val="nil"/>
              <w:right w:val="nil"/>
            </w:tcBorders>
            <w:shd w:val="clear" w:color="auto" w:fill="auto"/>
          </w:tcPr>
          <w:p w14:paraId="29D1F02D"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color w:val="4472C4" w:themeColor="accent1"/>
                <w:sz w:val="24"/>
                <w:szCs w:val="24"/>
              </w:rPr>
              <w:t>Diagnosis should include the identification of Schistosoma parasites in humans along with water sources that may be contaminated.</w:t>
            </w:r>
          </w:p>
        </w:tc>
      </w:tr>
      <w:tr w:rsidR="00F26A7A" w:rsidRPr="00425AA7" w14:paraId="3B4D0097" w14:textId="77777777" w:rsidTr="0050100A">
        <w:trPr>
          <w:jc w:val="center"/>
        </w:trPr>
        <w:tc>
          <w:tcPr>
            <w:tcW w:w="1134" w:type="dxa"/>
            <w:vMerge/>
            <w:tcBorders>
              <w:top w:val="nil"/>
              <w:left w:val="nil"/>
              <w:bottom w:val="nil"/>
              <w:right w:val="nil"/>
            </w:tcBorders>
            <w:shd w:val="clear" w:color="auto" w:fill="auto"/>
            <w:vAlign w:val="center"/>
          </w:tcPr>
          <w:p w14:paraId="3A9A2FB6"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48251B94"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w:t>
            </w:r>
          </w:p>
        </w:tc>
        <w:tc>
          <w:tcPr>
            <w:tcW w:w="3685" w:type="dxa"/>
            <w:tcBorders>
              <w:top w:val="nil"/>
              <w:left w:val="nil"/>
              <w:bottom w:val="nil"/>
              <w:right w:val="nil"/>
            </w:tcBorders>
          </w:tcPr>
          <w:p w14:paraId="529FDB06"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Mass screening and diagnosis should be carried out alongside mass drug administration with praziquantel. </w:t>
            </w:r>
          </w:p>
        </w:tc>
        <w:tc>
          <w:tcPr>
            <w:tcW w:w="1134" w:type="dxa"/>
            <w:tcBorders>
              <w:top w:val="nil"/>
              <w:left w:val="nil"/>
              <w:bottom w:val="nil"/>
              <w:right w:val="nil"/>
            </w:tcBorders>
            <w:shd w:val="clear" w:color="auto" w:fill="auto"/>
          </w:tcPr>
          <w:p w14:paraId="59A26259"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45A3E31F"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612A2647" w14:textId="77777777" w:rsidTr="0050100A">
        <w:trPr>
          <w:jc w:val="center"/>
        </w:trPr>
        <w:tc>
          <w:tcPr>
            <w:tcW w:w="1134" w:type="dxa"/>
            <w:vMerge/>
            <w:tcBorders>
              <w:top w:val="nil"/>
              <w:left w:val="nil"/>
              <w:bottom w:val="nil"/>
              <w:right w:val="nil"/>
            </w:tcBorders>
            <w:shd w:val="clear" w:color="auto" w:fill="auto"/>
            <w:vAlign w:val="center"/>
          </w:tcPr>
          <w:p w14:paraId="141C8304"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24DAE1FC"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4</w:t>
            </w:r>
          </w:p>
        </w:tc>
        <w:tc>
          <w:tcPr>
            <w:tcW w:w="3685" w:type="dxa"/>
            <w:tcBorders>
              <w:top w:val="nil"/>
              <w:left w:val="nil"/>
              <w:bottom w:val="nil"/>
              <w:right w:val="nil"/>
            </w:tcBorders>
          </w:tcPr>
          <w:p w14:paraId="7C1C367E"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Schistosomiasis surveillance enables programme managers to monitor the effectiveness of intervention strategies and identify which populations require continuing interventions. </w:t>
            </w:r>
          </w:p>
        </w:tc>
        <w:tc>
          <w:tcPr>
            <w:tcW w:w="1134" w:type="dxa"/>
            <w:tcBorders>
              <w:top w:val="nil"/>
              <w:left w:val="nil"/>
              <w:bottom w:val="nil"/>
              <w:right w:val="nil"/>
            </w:tcBorders>
            <w:shd w:val="clear" w:color="auto" w:fill="auto"/>
          </w:tcPr>
          <w:p w14:paraId="61637795"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3FEF7A0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07EE5439" w14:textId="77777777" w:rsidTr="0050100A">
        <w:trPr>
          <w:jc w:val="center"/>
        </w:trPr>
        <w:tc>
          <w:tcPr>
            <w:tcW w:w="1134" w:type="dxa"/>
            <w:vMerge/>
            <w:tcBorders>
              <w:top w:val="nil"/>
              <w:left w:val="nil"/>
              <w:bottom w:val="nil"/>
              <w:right w:val="nil"/>
            </w:tcBorders>
            <w:shd w:val="clear" w:color="auto" w:fill="auto"/>
            <w:vAlign w:val="center"/>
          </w:tcPr>
          <w:p w14:paraId="290B5EAA"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343B76A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5</w:t>
            </w:r>
          </w:p>
        </w:tc>
        <w:tc>
          <w:tcPr>
            <w:tcW w:w="3685" w:type="dxa"/>
            <w:tcBorders>
              <w:top w:val="nil"/>
              <w:left w:val="nil"/>
              <w:bottom w:val="nil"/>
              <w:right w:val="nil"/>
            </w:tcBorders>
          </w:tcPr>
          <w:p w14:paraId="6844994C"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The availability of Rapid Diagnostic Test (RDTs), which requires only minimal infrastructure, would improve diagnosis and surveillance simultaneously.</w:t>
            </w:r>
          </w:p>
        </w:tc>
        <w:tc>
          <w:tcPr>
            <w:tcW w:w="1134" w:type="dxa"/>
            <w:tcBorders>
              <w:top w:val="nil"/>
              <w:left w:val="nil"/>
              <w:bottom w:val="nil"/>
              <w:right w:val="nil"/>
            </w:tcBorders>
            <w:shd w:val="clear" w:color="auto" w:fill="auto"/>
          </w:tcPr>
          <w:p w14:paraId="2AB9D945"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36D0EBA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44C0403E" w14:textId="77777777" w:rsidTr="0050100A">
        <w:trPr>
          <w:jc w:val="center"/>
        </w:trPr>
        <w:tc>
          <w:tcPr>
            <w:tcW w:w="1134" w:type="dxa"/>
            <w:vMerge/>
            <w:tcBorders>
              <w:top w:val="nil"/>
              <w:left w:val="nil"/>
              <w:bottom w:val="nil"/>
              <w:right w:val="nil"/>
            </w:tcBorders>
            <w:shd w:val="clear" w:color="auto" w:fill="auto"/>
            <w:vAlign w:val="center"/>
          </w:tcPr>
          <w:p w14:paraId="5D21B24C"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70C1F229"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6</w:t>
            </w:r>
          </w:p>
        </w:tc>
        <w:tc>
          <w:tcPr>
            <w:tcW w:w="3685" w:type="dxa"/>
            <w:tcBorders>
              <w:top w:val="nil"/>
              <w:left w:val="nil"/>
              <w:bottom w:val="nil"/>
              <w:right w:val="nil"/>
            </w:tcBorders>
          </w:tcPr>
          <w:p w14:paraId="5B7405F4"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Implementing an affordable and simple point-of-care (POC) diagnostics solution will reduce the financial burden of equipment and personnel at each health facility. </w:t>
            </w:r>
          </w:p>
        </w:tc>
        <w:tc>
          <w:tcPr>
            <w:tcW w:w="1134" w:type="dxa"/>
            <w:tcBorders>
              <w:top w:val="nil"/>
              <w:left w:val="nil"/>
              <w:bottom w:val="nil"/>
              <w:right w:val="nil"/>
            </w:tcBorders>
            <w:shd w:val="clear" w:color="auto" w:fill="auto"/>
          </w:tcPr>
          <w:p w14:paraId="0D15539C"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063545B7"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4A30FFD5" w14:textId="77777777" w:rsidTr="0050100A">
        <w:trPr>
          <w:jc w:val="center"/>
        </w:trPr>
        <w:tc>
          <w:tcPr>
            <w:tcW w:w="1134" w:type="dxa"/>
            <w:vMerge/>
            <w:tcBorders>
              <w:top w:val="nil"/>
              <w:left w:val="nil"/>
              <w:bottom w:val="nil"/>
              <w:right w:val="nil"/>
            </w:tcBorders>
            <w:shd w:val="clear" w:color="auto" w:fill="auto"/>
            <w:vAlign w:val="center"/>
          </w:tcPr>
          <w:p w14:paraId="1E6D5E4C"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64C73FE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7</w:t>
            </w:r>
          </w:p>
        </w:tc>
        <w:tc>
          <w:tcPr>
            <w:tcW w:w="3685" w:type="dxa"/>
            <w:tcBorders>
              <w:top w:val="nil"/>
              <w:left w:val="nil"/>
              <w:bottom w:val="nil"/>
              <w:right w:val="nil"/>
            </w:tcBorders>
          </w:tcPr>
          <w:p w14:paraId="4AEC81C0"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Point-of-care diagnostics that can detect and confirm cases immediately will reduce the risk of missed or misdiagnosed cases. </w:t>
            </w:r>
          </w:p>
        </w:tc>
        <w:tc>
          <w:tcPr>
            <w:tcW w:w="1134" w:type="dxa"/>
            <w:tcBorders>
              <w:top w:val="nil"/>
              <w:left w:val="nil"/>
              <w:bottom w:val="nil"/>
              <w:right w:val="nil"/>
            </w:tcBorders>
            <w:shd w:val="clear" w:color="auto" w:fill="auto"/>
          </w:tcPr>
          <w:p w14:paraId="6E3A78F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0.88</w:t>
            </w:r>
          </w:p>
        </w:tc>
        <w:tc>
          <w:tcPr>
            <w:tcW w:w="2693" w:type="dxa"/>
            <w:tcBorders>
              <w:top w:val="nil"/>
              <w:left w:val="nil"/>
              <w:bottom w:val="nil"/>
              <w:right w:val="nil"/>
            </w:tcBorders>
            <w:shd w:val="clear" w:color="auto" w:fill="auto"/>
          </w:tcPr>
          <w:p w14:paraId="544084BC"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182FF18E" w14:textId="77777777" w:rsidTr="0050100A">
        <w:trPr>
          <w:jc w:val="center"/>
        </w:trPr>
        <w:tc>
          <w:tcPr>
            <w:tcW w:w="1134" w:type="dxa"/>
            <w:vMerge/>
            <w:tcBorders>
              <w:top w:val="nil"/>
              <w:left w:val="nil"/>
              <w:bottom w:val="nil"/>
              <w:right w:val="nil"/>
            </w:tcBorders>
            <w:shd w:val="clear" w:color="auto" w:fill="auto"/>
            <w:vAlign w:val="center"/>
          </w:tcPr>
          <w:p w14:paraId="54D3588F"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4AF9390B"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8</w:t>
            </w:r>
          </w:p>
        </w:tc>
        <w:tc>
          <w:tcPr>
            <w:tcW w:w="3685" w:type="dxa"/>
            <w:tcBorders>
              <w:top w:val="nil"/>
              <w:left w:val="nil"/>
              <w:bottom w:val="nil"/>
              <w:right w:val="nil"/>
            </w:tcBorders>
          </w:tcPr>
          <w:p w14:paraId="560E45B1"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The quantification of egg excretion helps to assess the transmission potential of populations living in endemic areas. </w:t>
            </w:r>
          </w:p>
        </w:tc>
        <w:tc>
          <w:tcPr>
            <w:tcW w:w="1134" w:type="dxa"/>
            <w:tcBorders>
              <w:top w:val="nil"/>
              <w:left w:val="nil"/>
              <w:bottom w:val="nil"/>
              <w:right w:val="nil"/>
            </w:tcBorders>
            <w:shd w:val="clear" w:color="auto" w:fill="auto"/>
          </w:tcPr>
          <w:p w14:paraId="7C948A50"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698B184B"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66E864E1" w14:textId="77777777" w:rsidTr="0050100A">
        <w:trPr>
          <w:jc w:val="center"/>
        </w:trPr>
        <w:tc>
          <w:tcPr>
            <w:tcW w:w="1134" w:type="dxa"/>
            <w:vMerge/>
            <w:tcBorders>
              <w:top w:val="nil"/>
              <w:left w:val="nil"/>
              <w:bottom w:val="nil"/>
              <w:right w:val="nil"/>
            </w:tcBorders>
            <w:shd w:val="clear" w:color="auto" w:fill="auto"/>
            <w:vAlign w:val="center"/>
          </w:tcPr>
          <w:p w14:paraId="0252952E"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3531A8DA"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9</w:t>
            </w:r>
          </w:p>
        </w:tc>
        <w:tc>
          <w:tcPr>
            <w:tcW w:w="3685" w:type="dxa"/>
            <w:tcBorders>
              <w:top w:val="nil"/>
              <w:left w:val="nil"/>
              <w:bottom w:val="nil"/>
              <w:right w:val="nil"/>
            </w:tcBorders>
          </w:tcPr>
          <w:p w14:paraId="4D27944E"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Schistosomiasis control programs should target school-aged children only.  </w:t>
            </w:r>
          </w:p>
        </w:tc>
        <w:tc>
          <w:tcPr>
            <w:tcW w:w="1134" w:type="dxa"/>
            <w:tcBorders>
              <w:top w:val="nil"/>
              <w:left w:val="nil"/>
              <w:bottom w:val="nil"/>
              <w:right w:val="nil"/>
            </w:tcBorders>
            <w:shd w:val="clear" w:color="auto" w:fill="auto"/>
          </w:tcPr>
          <w:p w14:paraId="02714E67"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4FD985A2"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50ED2499" w14:textId="77777777" w:rsidTr="0050100A">
        <w:trPr>
          <w:jc w:val="center"/>
        </w:trPr>
        <w:tc>
          <w:tcPr>
            <w:tcW w:w="1134" w:type="dxa"/>
            <w:vMerge/>
            <w:tcBorders>
              <w:top w:val="nil"/>
              <w:left w:val="nil"/>
              <w:bottom w:val="nil"/>
              <w:right w:val="nil"/>
            </w:tcBorders>
            <w:shd w:val="clear" w:color="auto" w:fill="auto"/>
            <w:vAlign w:val="center"/>
            <w:hideMark/>
          </w:tcPr>
          <w:p w14:paraId="7C72F216"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hideMark/>
          </w:tcPr>
          <w:p w14:paraId="60BE3AD7"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w:t>
            </w:r>
          </w:p>
        </w:tc>
        <w:tc>
          <w:tcPr>
            <w:tcW w:w="3685" w:type="dxa"/>
            <w:tcBorders>
              <w:top w:val="nil"/>
              <w:left w:val="nil"/>
              <w:bottom w:val="nil"/>
              <w:right w:val="nil"/>
            </w:tcBorders>
          </w:tcPr>
          <w:p w14:paraId="7CE425E4"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 xml:space="preserve">Due to the low level of education and lack of training among community </w:t>
            </w:r>
            <w:r w:rsidRPr="00425AA7">
              <w:rPr>
                <w:rFonts w:ascii="Times New Roman" w:hAnsi="Times New Roman"/>
                <w:sz w:val="24"/>
                <w:szCs w:val="24"/>
              </w:rPr>
              <w:lastRenderedPageBreak/>
              <w:t>health workers, incorrect treatment is often prescribed.</w:t>
            </w:r>
          </w:p>
        </w:tc>
        <w:tc>
          <w:tcPr>
            <w:tcW w:w="1134" w:type="dxa"/>
            <w:tcBorders>
              <w:top w:val="nil"/>
              <w:left w:val="nil"/>
              <w:bottom w:val="nil"/>
              <w:right w:val="nil"/>
            </w:tcBorders>
            <w:shd w:val="clear" w:color="auto" w:fill="auto"/>
          </w:tcPr>
          <w:p w14:paraId="578E8939"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lastRenderedPageBreak/>
              <w:t>1.00</w:t>
            </w:r>
          </w:p>
        </w:tc>
        <w:tc>
          <w:tcPr>
            <w:tcW w:w="2693" w:type="dxa"/>
            <w:tcBorders>
              <w:top w:val="nil"/>
              <w:left w:val="nil"/>
              <w:bottom w:val="nil"/>
              <w:right w:val="nil"/>
            </w:tcBorders>
            <w:shd w:val="clear" w:color="auto" w:fill="auto"/>
          </w:tcPr>
          <w:p w14:paraId="1233310B"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26145634" w14:textId="77777777" w:rsidTr="0050100A">
        <w:trPr>
          <w:jc w:val="center"/>
        </w:trPr>
        <w:tc>
          <w:tcPr>
            <w:tcW w:w="1134" w:type="dxa"/>
            <w:vMerge/>
            <w:tcBorders>
              <w:top w:val="nil"/>
              <w:left w:val="nil"/>
              <w:bottom w:val="nil"/>
              <w:right w:val="nil"/>
            </w:tcBorders>
            <w:shd w:val="clear" w:color="auto" w:fill="auto"/>
            <w:vAlign w:val="center"/>
          </w:tcPr>
          <w:p w14:paraId="34A1E4DD"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41D5BF9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11</w:t>
            </w:r>
          </w:p>
        </w:tc>
        <w:tc>
          <w:tcPr>
            <w:tcW w:w="3685" w:type="dxa"/>
            <w:tcBorders>
              <w:top w:val="nil"/>
              <w:left w:val="nil"/>
              <w:bottom w:val="nil"/>
              <w:right w:val="nil"/>
            </w:tcBorders>
          </w:tcPr>
          <w:p w14:paraId="4024AEE5"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Presenting data on the severity of schistosomiasis infection of specific locations will guide the development of strategies for effective case management and control elimination. </w:t>
            </w:r>
          </w:p>
        </w:tc>
        <w:tc>
          <w:tcPr>
            <w:tcW w:w="1134" w:type="dxa"/>
            <w:tcBorders>
              <w:top w:val="nil"/>
              <w:left w:val="nil"/>
              <w:bottom w:val="nil"/>
              <w:right w:val="nil"/>
            </w:tcBorders>
            <w:shd w:val="clear" w:color="auto" w:fill="auto"/>
          </w:tcPr>
          <w:p w14:paraId="5A565E42"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3E6AE65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5535B415" w14:textId="77777777" w:rsidTr="0050100A">
        <w:trPr>
          <w:jc w:val="center"/>
        </w:trPr>
        <w:tc>
          <w:tcPr>
            <w:tcW w:w="1134" w:type="dxa"/>
            <w:vMerge/>
            <w:tcBorders>
              <w:top w:val="nil"/>
              <w:left w:val="nil"/>
              <w:bottom w:val="nil"/>
              <w:right w:val="nil"/>
            </w:tcBorders>
            <w:shd w:val="clear" w:color="auto" w:fill="auto"/>
            <w:vAlign w:val="center"/>
          </w:tcPr>
          <w:p w14:paraId="753BC940"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11A49D94"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12</w:t>
            </w:r>
          </w:p>
        </w:tc>
        <w:tc>
          <w:tcPr>
            <w:tcW w:w="3685" w:type="dxa"/>
            <w:tcBorders>
              <w:top w:val="nil"/>
              <w:left w:val="nil"/>
              <w:bottom w:val="nil"/>
              <w:right w:val="nil"/>
            </w:tcBorders>
          </w:tcPr>
          <w:p w14:paraId="733DFE05"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Passive case detection, based on people’s self-reporting, has been considered a less expensive strategy for the control of schistosomiasis.</w:t>
            </w:r>
          </w:p>
        </w:tc>
        <w:tc>
          <w:tcPr>
            <w:tcW w:w="1134" w:type="dxa"/>
            <w:tcBorders>
              <w:top w:val="nil"/>
              <w:left w:val="nil"/>
              <w:bottom w:val="nil"/>
              <w:right w:val="nil"/>
            </w:tcBorders>
            <w:shd w:val="clear" w:color="auto" w:fill="auto"/>
          </w:tcPr>
          <w:p w14:paraId="2C46FC0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3A4070D7"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5462BC61" w14:textId="77777777" w:rsidTr="0050100A">
        <w:trPr>
          <w:jc w:val="center"/>
        </w:trPr>
        <w:tc>
          <w:tcPr>
            <w:tcW w:w="1134" w:type="dxa"/>
            <w:vMerge/>
            <w:tcBorders>
              <w:top w:val="nil"/>
              <w:left w:val="nil"/>
              <w:bottom w:val="single" w:sz="4" w:space="0" w:color="auto"/>
              <w:right w:val="nil"/>
            </w:tcBorders>
            <w:shd w:val="clear" w:color="auto" w:fill="auto"/>
            <w:vAlign w:val="center"/>
          </w:tcPr>
          <w:p w14:paraId="084A6A84"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single" w:sz="4" w:space="0" w:color="auto"/>
              <w:right w:val="nil"/>
            </w:tcBorders>
            <w:shd w:val="clear" w:color="auto" w:fill="auto"/>
          </w:tcPr>
          <w:p w14:paraId="29E4F81C"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13</w:t>
            </w:r>
          </w:p>
        </w:tc>
        <w:tc>
          <w:tcPr>
            <w:tcW w:w="3685" w:type="dxa"/>
            <w:tcBorders>
              <w:top w:val="nil"/>
              <w:left w:val="nil"/>
              <w:bottom w:val="single" w:sz="4" w:space="0" w:color="auto"/>
              <w:right w:val="nil"/>
            </w:tcBorders>
          </w:tcPr>
          <w:p w14:paraId="500F1FD0"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Prevalence and intensity of infection is often higher among children than among adults. </w:t>
            </w:r>
          </w:p>
        </w:tc>
        <w:tc>
          <w:tcPr>
            <w:tcW w:w="1134" w:type="dxa"/>
            <w:tcBorders>
              <w:top w:val="nil"/>
              <w:left w:val="nil"/>
              <w:bottom w:val="single" w:sz="4" w:space="0" w:color="auto"/>
              <w:right w:val="nil"/>
            </w:tcBorders>
            <w:shd w:val="clear" w:color="auto" w:fill="auto"/>
          </w:tcPr>
          <w:p w14:paraId="6F446000"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single" w:sz="4" w:space="0" w:color="auto"/>
              <w:right w:val="nil"/>
            </w:tcBorders>
            <w:shd w:val="clear" w:color="auto" w:fill="auto"/>
          </w:tcPr>
          <w:p w14:paraId="2D23E05B"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10DB51A4" w14:textId="77777777" w:rsidTr="0050100A">
        <w:trPr>
          <w:jc w:val="center"/>
        </w:trPr>
        <w:tc>
          <w:tcPr>
            <w:tcW w:w="1134" w:type="dxa"/>
            <w:vMerge w:val="restart"/>
            <w:tcBorders>
              <w:top w:val="single" w:sz="4" w:space="0" w:color="auto"/>
              <w:left w:val="nil"/>
              <w:bottom w:val="nil"/>
              <w:right w:val="nil"/>
            </w:tcBorders>
            <w:shd w:val="clear" w:color="auto" w:fill="auto"/>
            <w:hideMark/>
          </w:tcPr>
          <w:p w14:paraId="6AE1AD5A"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Infrastructure and location</w:t>
            </w:r>
          </w:p>
        </w:tc>
        <w:tc>
          <w:tcPr>
            <w:tcW w:w="426" w:type="dxa"/>
            <w:tcBorders>
              <w:top w:val="single" w:sz="4" w:space="0" w:color="auto"/>
              <w:left w:val="nil"/>
              <w:bottom w:val="nil"/>
              <w:right w:val="nil"/>
            </w:tcBorders>
            <w:shd w:val="clear" w:color="auto" w:fill="auto"/>
            <w:hideMark/>
          </w:tcPr>
          <w:p w14:paraId="6EC446E9"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14</w:t>
            </w:r>
          </w:p>
        </w:tc>
        <w:tc>
          <w:tcPr>
            <w:tcW w:w="3685" w:type="dxa"/>
            <w:tcBorders>
              <w:top w:val="single" w:sz="4" w:space="0" w:color="auto"/>
              <w:left w:val="nil"/>
              <w:bottom w:val="nil"/>
              <w:right w:val="nil"/>
            </w:tcBorders>
          </w:tcPr>
          <w:p w14:paraId="7AE1442A"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Schistosomiasis diagnosis should be done closest to the community as it reduces the time to carry samples back to the laboratory.</w:t>
            </w:r>
          </w:p>
        </w:tc>
        <w:tc>
          <w:tcPr>
            <w:tcW w:w="1134" w:type="dxa"/>
            <w:tcBorders>
              <w:top w:val="single" w:sz="4" w:space="0" w:color="auto"/>
              <w:left w:val="nil"/>
              <w:bottom w:val="nil"/>
              <w:right w:val="nil"/>
            </w:tcBorders>
            <w:shd w:val="clear" w:color="auto" w:fill="auto"/>
          </w:tcPr>
          <w:p w14:paraId="2F00F246"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single" w:sz="4" w:space="0" w:color="auto"/>
              <w:left w:val="nil"/>
              <w:bottom w:val="nil"/>
              <w:right w:val="nil"/>
            </w:tcBorders>
            <w:shd w:val="clear" w:color="auto" w:fill="auto"/>
          </w:tcPr>
          <w:p w14:paraId="525B3A60"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7A746DF4" w14:textId="77777777" w:rsidTr="0050100A">
        <w:trPr>
          <w:jc w:val="center"/>
        </w:trPr>
        <w:tc>
          <w:tcPr>
            <w:tcW w:w="1134" w:type="dxa"/>
            <w:vMerge/>
            <w:tcBorders>
              <w:top w:val="nil"/>
              <w:left w:val="nil"/>
              <w:bottom w:val="nil"/>
              <w:right w:val="nil"/>
            </w:tcBorders>
            <w:shd w:val="clear" w:color="auto" w:fill="auto"/>
            <w:vAlign w:val="center"/>
          </w:tcPr>
          <w:p w14:paraId="48D7AF1C"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1565974C"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15</w:t>
            </w:r>
          </w:p>
        </w:tc>
        <w:tc>
          <w:tcPr>
            <w:tcW w:w="3685" w:type="dxa"/>
            <w:tcBorders>
              <w:top w:val="nil"/>
              <w:left w:val="nil"/>
              <w:bottom w:val="nil"/>
              <w:right w:val="nil"/>
            </w:tcBorders>
          </w:tcPr>
          <w:p w14:paraId="7569F514"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Diagnostic and treatment campaigns should target school-age children, adolescents and those whose occupations involve contact with infectious water (e.g fishing, farming, irrigation, and domestic tasks in water).</w:t>
            </w:r>
          </w:p>
        </w:tc>
        <w:tc>
          <w:tcPr>
            <w:tcW w:w="1134" w:type="dxa"/>
            <w:tcBorders>
              <w:top w:val="nil"/>
              <w:left w:val="nil"/>
              <w:bottom w:val="nil"/>
              <w:right w:val="nil"/>
            </w:tcBorders>
            <w:shd w:val="clear" w:color="auto" w:fill="auto"/>
          </w:tcPr>
          <w:p w14:paraId="7CEC027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052869E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00D6552D" w14:textId="77777777" w:rsidTr="0050100A">
        <w:trPr>
          <w:jc w:val="center"/>
        </w:trPr>
        <w:tc>
          <w:tcPr>
            <w:tcW w:w="1134" w:type="dxa"/>
            <w:vMerge/>
            <w:tcBorders>
              <w:top w:val="nil"/>
              <w:left w:val="nil"/>
              <w:bottom w:val="nil"/>
              <w:right w:val="nil"/>
            </w:tcBorders>
            <w:shd w:val="clear" w:color="auto" w:fill="auto"/>
            <w:vAlign w:val="center"/>
          </w:tcPr>
          <w:p w14:paraId="5FAB2712"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4406BA13"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16</w:t>
            </w:r>
          </w:p>
        </w:tc>
        <w:tc>
          <w:tcPr>
            <w:tcW w:w="3685" w:type="dxa"/>
            <w:tcBorders>
              <w:top w:val="nil"/>
              <w:left w:val="nil"/>
              <w:bottom w:val="nil"/>
              <w:right w:val="nil"/>
            </w:tcBorders>
          </w:tcPr>
          <w:p w14:paraId="511D5141"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Simple, rapid point-of-care (POC) tests should be used in primary health care settings where patients often travel long distances to access healthcare facilities.</w:t>
            </w:r>
          </w:p>
        </w:tc>
        <w:tc>
          <w:tcPr>
            <w:tcW w:w="1134" w:type="dxa"/>
            <w:tcBorders>
              <w:top w:val="nil"/>
              <w:left w:val="nil"/>
              <w:bottom w:val="nil"/>
              <w:right w:val="nil"/>
            </w:tcBorders>
            <w:shd w:val="clear" w:color="auto" w:fill="auto"/>
          </w:tcPr>
          <w:p w14:paraId="6CC30918"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1140DFCC"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57E207DD" w14:textId="77777777" w:rsidTr="0050100A">
        <w:trPr>
          <w:jc w:val="center"/>
        </w:trPr>
        <w:tc>
          <w:tcPr>
            <w:tcW w:w="1134" w:type="dxa"/>
            <w:vMerge/>
            <w:tcBorders>
              <w:top w:val="nil"/>
              <w:left w:val="nil"/>
              <w:bottom w:val="nil"/>
              <w:right w:val="nil"/>
            </w:tcBorders>
            <w:shd w:val="clear" w:color="auto" w:fill="auto"/>
            <w:vAlign w:val="center"/>
          </w:tcPr>
          <w:p w14:paraId="398E5E70"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25C9C648"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17</w:t>
            </w:r>
          </w:p>
        </w:tc>
        <w:tc>
          <w:tcPr>
            <w:tcW w:w="3685" w:type="dxa"/>
            <w:tcBorders>
              <w:top w:val="nil"/>
              <w:left w:val="nil"/>
              <w:bottom w:val="nil"/>
              <w:right w:val="nil"/>
            </w:tcBorders>
          </w:tcPr>
          <w:p w14:paraId="48C8840F"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Diagnostic devices should be deployed in primary health care centres, clinics and health posts since they are the most lacking in equipment.</w:t>
            </w:r>
          </w:p>
        </w:tc>
        <w:tc>
          <w:tcPr>
            <w:tcW w:w="1134" w:type="dxa"/>
            <w:tcBorders>
              <w:top w:val="nil"/>
              <w:left w:val="nil"/>
              <w:bottom w:val="nil"/>
              <w:right w:val="nil"/>
            </w:tcBorders>
            <w:shd w:val="clear" w:color="auto" w:fill="auto"/>
          </w:tcPr>
          <w:p w14:paraId="4F7F0D5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5830816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4D3F75C3" w14:textId="77777777" w:rsidTr="0050100A">
        <w:trPr>
          <w:jc w:val="center"/>
        </w:trPr>
        <w:tc>
          <w:tcPr>
            <w:tcW w:w="1134" w:type="dxa"/>
            <w:vMerge/>
            <w:tcBorders>
              <w:top w:val="nil"/>
              <w:left w:val="nil"/>
              <w:bottom w:val="nil"/>
              <w:right w:val="nil"/>
            </w:tcBorders>
            <w:shd w:val="clear" w:color="auto" w:fill="auto"/>
            <w:vAlign w:val="center"/>
          </w:tcPr>
          <w:p w14:paraId="15549E40"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6A47C57B"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18</w:t>
            </w:r>
          </w:p>
        </w:tc>
        <w:tc>
          <w:tcPr>
            <w:tcW w:w="3685" w:type="dxa"/>
            <w:tcBorders>
              <w:top w:val="nil"/>
              <w:left w:val="nil"/>
              <w:bottom w:val="nil"/>
              <w:right w:val="nil"/>
            </w:tcBorders>
          </w:tcPr>
          <w:p w14:paraId="5E6FDD6B"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Testing of urine samples for schistosomiasis with school-based surveys should be done at the school location.</w:t>
            </w:r>
          </w:p>
        </w:tc>
        <w:tc>
          <w:tcPr>
            <w:tcW w:w="1134" w:type="dxa"/>
            <w:tcBorders>
              <w:top w:val="nil"/>
              <w:left w:val="nil"/>
              <w:bottom w:val="nil"/>
              <w:right w:val="nil"/>
            </w:tcBorders>
            <w:shd w:val="clear" w:color="auto" w:fill="auto"/>
          </w:tcPr>
          <w:p w14:paraId="048E34A1"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5E85C766"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533D1C1F" w14:textId="77777777" w:rsidTr="0050100A">
        <w:trPr>
          <w:jc w:val="center"/>
        </w:trPr>
        <w:tc>
          <w:tcPr>
            <w:tcW w:w="1134" w:type="dxa"/>
            <w:vMerge/>
            <w:tcBorders>
              <w:top w:val="nil"/>
              <w:left w:val="nil"/>
              <w:bottom w:val="single" w:sz="4" w:space="0" w:color="auto"/>
              <w:right w:val="nil"/>
            </w:tcBorders>
            <w:shd w:val="clear" w:color="auto" w:fill="auto"/>
            <w:vAlign w:val="center"/>
            <w:hideMark/>
          </w:tcPr>
          <w:p w14:paraId="16958E49"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single" w:sz="4" w:space="0" w:color="auto"/>
              <w:right w:val="nil"/>
            </w:tcBorders>
            <w:shd w:val="clear" w:color="auto" w:fill="auto"/>
            <w:hideMark/>
          </w:tcPr>
          <w:p w14:paraId="02805533"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19</w:t>
            </w:r>
          </w:p>
        </w:tc>
        <w:tc>
          <w:tcPr>
            <w:tcW w:w="3685" w:type="dxa"/>
            <w:tcBorders>
              <w:top w:val="nil"/>
              <w:left w:val="nil"/>
              <w:bottom w:val="single" w:sz="4" w:space="0" w:color="auto"/>
              <w:right w:val="nil"/>
            </w:tcBorders>
          </w:tcPr>
          <w:p w14:paraId="10512E5E"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It is convenient to treat patients for schistosomiasis infection without a confirmed diagnosis due to the delay in receiving test results from referral hospitals. </w:t>
            </w:r>
          </w:p>
        </w:tc>
        <w:tc>
          <w:tcPr>
            <w:tcW w:w="1134" w:type="dxa"/>
            <w:tcBorders>
              <w:top w:val="nil"/>
              <w:left w:val="nil"/>
              <w:bottom w:val="single" w:sz="4" w:space="0" w:color="auto"/>
              <w:right w:val="nil"/>
            </w:tcBorders>
            <w:shd w:val="clear" w:color="auto" w:fill="auto"/>
          </w:tcPr>
          <w:p w14:paraId="156C7F68"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single" w:sz="4" w:space="0" w:color="auto"/>
              <w:right w:val="nil"/>
            </w:tcBorders>
            <w:shd w:val="clear" w:color="auto" w:fill="auto"/>
          </w:tcPr>
          <w:p w14:paraId="7E60662F"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2AA89477" w14:textId="77777777" w:rsidTr="0050100A">
        <w:trPr>
          <w:jc w:val="center"/>
        </w:trPr>
        <w:tc>
          <w:tcPr>
            <w:tcW w:w="1134" w:type="dxa"/>
            <w:vMerge w:val="restart"/>
            <w:tcBorders>
              <w:top w:val="single" w:sz="4" w:space="0" w:color="auto"/>
              <w:left w:val="nil"/>
              <w:bottom w:val="nil"/>
              <w:right w:val="nil"/>
            </w:tcBorders>
            <w:shd w:val="clear" w:color="auto" w:fill="auto"/>
            <w:hideMark/>
          </w:tcPr>
          <w:p w14:paraId="6A6CC5A0"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Product</w:t>
            </w:r>
          </w:p>
          <w:p w14:paraId="69E66855"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lastRenderedPageBreak/>
              <w:t>requirement</w:t>
            </w:r>
          </w:p>
        </w:tc>
        <w:tc>
          <w:tcPr>
            <w:tcW w:w="426" w:type="dxa"/>
            <w:tcBorders>
              <w:top w:val="single" w:sz="4" w:space="0" w:color="auto"/>
              <w:left w:val="nil"/>
              <w:bottom w:val="nil"/>
              <w:right w:val="nil"/>
            </w:tcBorders>
            <w:shd w:val="clear" w:color="auto" w:fill="auto"/>
            <w:hideMark/>
          </w:tcPr>
          <w:p w14:paraId="473D8395"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lastRenderedPageBreak/>
              <w:t>20</w:t>
            </w:r>
          </w:p>
        </w:tc>
        <w:tc>
          <w:tcPr>
            <w:tcW w:w="3685" w:type="dxa"/>
            <w:tcBorders>
              <w:top w:val="single" w:sz="4" w:space="0" w:color="auto"/>
              <w:left w:val="nil"/>
              <w:bottom w:val="nil"/>
              <w:right w:val="nil"/>
            </w:tcBorders>
          </w:tcPr>
          <w:p w14:paraId="1DEDCAE4"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 xml:space="preserve">Schistosomiasis elimination calls for developing novel diagnostic tools </w:t>
            </w:r>
            <w:r w:rsidRPr="00425AA7">
              <w:rPr>
                <w:rFonts w:ascii="Times New Roman" w:hAnsi="Times New Roman"/>
                <w:sz w:val="24"/>
                <w:szCs w:val="24"/>
              </w:rPr>
              <w:lastRenderedPageBreak/>
              <w:t>with higher sensitivity and specificity than microscopes.</w:t>
            </w:r>
          </w:p>
        </w:tc>
        <w:tc>
          <w:tcPr>
            <w:tcW w:w="1134" w:type="dxa"/>
            <w:tcBorders>
              <w:top w:val="single" w:sz="4" w:space="0" w:color="auto"/>
              <w:left w:val="nil"/>
              <w:bottom w:val="nil"/>
              <w:right w:val="nil"/>
            </w:tcBorders>
            <w:shd w:val="clear" w:color="auto" w:fill="auto"/>
          </w:tcPr>
          <w:p w14:paraId="468D458C"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lastRenderedPageBreak/>
              <w:t>0.88</w:t>
            </w:r>
          </w:p>
        </w:tc>
        <w:tc>
          <w:tcPr>
            <w:tcW w:w="2693" w:type="dxa"/>
            <w:tcBorders>
              <w:top w:val="single" w:sz="4" w:space="0" w:color="auto"/>
              <w:left w:val="nil"/>
              <w:bottom w:val="nil"/>
              <w:right w:val="nil"/>
            </w:tcBorders>
            <w:shd w:val="clear" w:color="auto" w:fill="auto"/>
          </w:tcPr>
          <w:p w14:paraId="34B1F8F5"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71A6DB53" w14:textId="77777777" w:rsidTr="0050100A">
        <w:trPr>
          <w:jc w:val="center"/>
        </w:trPr>
        <w:tc>
          <w:tcPr>
            <w:tcW w:w="1134" w:type="dxa"/>
            <w:vMerge/>
            <w:tcBorders>
              <w:top w:val="nil"/>
              <w:left w:val="nil"/>
              <w:bottom w:val="nil"/>
              <w:right w:val="nil"/>
            </w:tcBorders>
            <w:shd w:val="clear" w:color="auto" w:fill="auto"/>
            <w:vAlign w:val="center"/>
          </w:tcPr>
          <w:p w14:paraId="20545B52"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5F401435"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21</w:t>
            </w:r>
          </w:p>
        </w:tc>
        <w:tc>
          <w:tcPr>
            <w:tcW w:w="3685" w:type="dxa"/>
            <w:tcBorders>
              <w:top w:val="nil"/>
              <w:left w:val="nil"/>
              <w:bottom w:val="nil"/>
              <w:right w:val="nil"/>
            </w:tcBorders>
          </w:tcPr>
          <w:p w14:paraId="385410AB"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Diagnostic device for schistosomiasis with minimal to no sample preparation is ideal. </w:t>
            </w:r>
          </w:p>
        </w:tc>
        <w:tc>
          <w:tcPr>
            <w:tcW w:w="1134" w:type="dxa"/>
            <w:tcBorders>
              <w:top w:val="nil"/>
              <w:left w:val="nil"/>
              <w:bottom w:val="nil"/>
              <w:right w:val="nil"/>
            </w:tcBorders>
            <w:shd w:val="clear" w:color="auto" w:fill="auto"/>
          </w:tcPr>
          <w:p w14:paraId="0C103AA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0.88</w:t>
            </w:r>
          </w:p>
        </w:tc>
        <w:tc>
          <w:tcPr>
            <w:tcW w:w="2693" w:type="dxa"/>
            <w:tcBorders>
              <w:top w:val="nil"/>
              <w:left w:val="nil"/>
              <w:bottom w:val="nil"/>
              <w:right w:val="nil"/>
            </w:tcBorders>
            <w:shd w:val="clear" w:color="auto" w:fill="auto"/>
          </w:tcPr>
          <w:p w14:paraId="65A7CE6B"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592FB961" w14:textId="77777777" w:rsidTr="0050100A">
        <w:trPr>
          <w:jc w:val="center"/>
        </w:trPr>
        <w:tc>
          <w:tcPr>
            <w:tcW w:w="1134" w:type="dxa"/>
            <w:vMerge/>
            <w:tcBorders>
              <w:top w:val="nil"/>
              <w:left w:val="nil"/>
              <w:bottom w:val="nil"/>
              <w:right w:val="nil"/>
            </w:tcBorders>
            <w:shd w:val="clear" w:color="auto" w:fill="auto"/>
            <w:vAlign w:val="center"/>
          </w:tcPr>
          <w:p w14:paraId="2938F40B" w14:textId="77777777" w:rsidR="00F26A7A" w:rsidRPr="00425AA7" w:rsidRDefault="00F26A7A" w:rsidP="0050100A">
            <w:pPr>
              <w:pStyle w:val="MDPI42tablebody"/>
              <w:jc w:val="left"/>
              <w:rPr>
                <w:rFonts w:ascii="Times New Roman" w:hAnsi="Times New Roman"/>
                <w:sz w:val="24"/>
                <w:szCs w:val="24"/>
              </w:rPr>
            </w:pPr>
            <w:bookmarkStart w:id="0" w:name="_Hlk70495245"/>
          </w:p>
        </w:tc>
        <w:tc>
          <w:tcPr>
            <w:tcW w:w="426" w:type="dxa"/>
            <w:tcBorders>
              <w:top w:val="nil"/>
              <w:left w:val="nil"/>
              <w:bottom w:val="nil"/>
              <w:right w:val="nil"/>
            </w:tcBorders>
            <w:shd w:val="clear" w:color="auto" w:fill="auto"/>
          </w:tcPr>
          <w:p w14:paraId="08F70B43"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22</w:t>
            </w:r>
          </w:p>
        </w:tc>
        <w:tc>
          <w:tcPr>
            <w:tcW w:w="3685" w:type="dxa"/>
            <w:tcBorders>
              <w:top w:val="nil"/>
              <w:left w:val="nil"/>
              <w:bottom w:val="nil"/>
              <w:right w:val="nil"/>
            </w:tcBorders>
          </w:tcPr>
          <w:p w14:paraId="0877C4D6"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The diagnostic device should quantify eggs to provide an estimation of the number of people that have been exposed to schistosomiasis in a population. </w:t>
            </w:r>
          </w:p>
        </w:tc>
        <w:tc>
          <w:tcPr>
            <w:tcW w:w="1134" w:type="dxa"/>
            <w:tcBorders>
              <w:top w:val="nil"/>
              <w:left w:val="nil"/>
              <w:bottom w:val="nil"/>
              <w:right w:val="nil"/>
            </w:tcBorders>
            <w:shd w:val="clear" w:color="auto" w:fill="auto"/>
          </w:tcPr>
          <w:p w14:paraId="75C701C2"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6E9B5C45" w14:textId="77777777" w:rsidR="00F26A7A" w:rsidRPr="00425AA7" w:rsidRDefault="00F26A7A" w:rsidP="0050100A">
            <w:pPr>
              <w:pStyle w:val="MDPI42tablebody"/>
              <w:jc w:val="left"/>
              <w:rPr>
                <w:rFonts w:ascii="Times New Roman" w:hAnsi="Times New Roman"/>
                <w:color w:val="4472C4" w:themeColor="accent1"/>
                <w:sz w:val="24"/>
                <w:szCs w:val="24"/>
              </w:rPr>
            </w:pPr>
            <w:r w:rsidRPr="00425AA7">
              <w:rPr>
                <w:rFonts w:ascii="Times New Roman" w:hAnsi="Times New Roman"/>
                <w:color w:val="4472C4" w:themeColor="accent1"/>
                <w:sz w:val="24"/>
                <w:szCs w:val="24"/>
              </w:rPr>
              <w:t>The diagnostic device should quantify eggs to help estimation the number of people that have been exposed to schistosomiasis in a population. </w:t>
            </w:r>
          </w:p>
        </w:tc>
      </w:tr>
      <w:bookmarkEnd w:id="0"/>
      <w:tr w:rsidR="00F26A7A" w:rsidRPr="00425AA7" w14:paraId="70B15880" w14:textId="77777777" w:rsidTr="0050100A">
        <w:trPr>
          <w:jc w:val="center"/>
        </w:trPr>
        <w:tc>
          <w:tcPr>
            <w:tcW w:w="1134" w:type="dxa"/>
            <w:vMerge/>
            <w:tcBorders>
              <w:top w:val="nil"/>
              <w:left w:val="nil"/>
              <w:bottom w:val="nil"/>
              <w:right w:val="nil"/>
            </w:tcBorders>
            <w:shd w:val="clear" w:color="auto" w:fill="auto"/>
            <w:vAlign w:val="center"/>
          </w:tcPr>
          <w:p w14:paraId="16E790E3"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4CAE155A"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23</w:t>
            </w:r>
          </w:p>
        </w:tc>
        <w:tc>
          <w:tcPr>
            <w:tcW w:w="3685" w:type="dxa"/>
            <w:tcBorders>
              <w:top w:val="nil"/>
              <w:left w:val="nil"/>
              <w:bottom w:val="nil"/>
              <w:right w:val="nil"/>
            </w:tcBorders>
          </w:tcPr>
          <w:p w14:paraId="4D760313"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Devices should be easy to use by medical personnel and health workers such as Community Health Extension Workers (CHEWS), Community Health Officers (CHO), Laboratory scientists to detect and diagnose schistosomiasis infected patients.</w:t>
            </w:r>
          </w:p>
        </w:tc>
        <w:tc>
          <w:tcPr>
            <w:tcW w:w="1134" w:type="dxa"/>
            <w:tcBorders>
              <w:top w:val="nil"/>
              <w:left w:val="nil"/>
              <w:bottom w:val="nil"/>
              <w:right w:val="nil"/>
            </w:tcBorders>
            <w:shd w:val="clear" w:color="auto" w:fill="auto"/>
          </w:tcPr>
          <w:p w14:paraId="4360C086"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71C6BF9A"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7FFAE8F6" w14:textId="77777777" w:rsidTr="0050100A">
        <w:trPr>
          <w:jc w:val="center"/>
        </w:trPr>
        <w:tc>
          <w:tcPr>
            <w:tcW w:w="1134" w:type="dxa"/>
            <w:vMerge/>
            <w:tcBorders>
              <w:top w:val="nil"/>
              <w:left w:val="nil"/>
              <w:bottom w:val="nil"/>
              <w:right w:val="nil"/>
            </w:tcBorders>
            <w:shd w:val="clear" w:color="auto" w:fill="auto"/>
            <w:vAlign w:val="center"/>
          </w:tcPr>
          <w:p w14:paraId="5E9D1385"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4B02BA3F"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24</w:t>
            </w:r>
          </w:p>
        </w:tc>
        <w:tc>
          <w:tcPr>
            <w:tcW w:w="3685" w:type="dxa"/>
            <w:tcBorders>
              <w:top w:val="nil"/>
              <w:left w:val="nil"/>
              <w:bottom w:val="nil"/>
              <w:right w:val="nil"/>
            </w:tcBorders>
          </w:tcPr>
          <w:p w14:paraId="42AFD010"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Patient samples should be processed in batches to get a faster turnaround time and increase the efficiency of sample processing during mass campaigns or sensitization meetings. </w:t>
            </w:r>
          </w:p>
        </w:tc>
        <w:tc>
          <w:tcPr>
            <w:tcW w:w="1134" w:type="dxa"/>
            <w:tcBorders>
              <w:top w:val="nil"/>
              <w:left w:val="nil"/>
              <w:bottom w:val="nil"/>
              <w:right w:val="nil"/>
            </w:tcBorders>
            <w:shd w:val="clear" w:color="auto" w:fill="auto"/>
          </w:tcPr>
          <w:p w14:paraId="6DCDD319"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0C284565"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7BB13DE3" w14:textId="77777777" w:rsidTr="0050100A">
        <w:trPr>
          <w:jc w:val="center"/>
        </w:trPr>
        <w:tc>
          <w:tcPr>
            <w:tcW w:w="1134" w:type="dxa"/>
            <w:vMerge/>
            <w:tcBorders>
              <w:top w:val="nil"/>
              <w:left w:val="nil"/>
              <w:bottom w:val="nil"/>
              <w:right w:val="nil"/>
            </w:tcBorders>
            <w:shd w:val="clear" w:color="auto" w:fill="auto"/>
            <w:vAlign w:val="center"/>
          </w:tcPr>
          <w:p w14:paraId="57C82B30"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352DBA2A"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25</w:t>
            </w:r>
          </w:p>
        </w:tc>
        <w:tc>
          <w:tcPr>
            <w:tcW w:w="3685" w:type="dxa"/>
            <w:tcBorders>
              <w:top w:val="nil"/>
              <w:left w:val="nil"/>
              <w:bottom w:val="nil"/>
              <w:right w:val="nil"/>
            </w:tcBorders>
          </w:tcPr>
          <w:p w14:paraId="364B9C0C"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Ideal diagnostic approaches should allow the concurrent detection of several pathogens in different biological samples such as urine, blood and stool.</w:t>
            </w:r>
          </w:p>
        </w:tc>
        <w:tc>
          <w:tcPr>
            <w:tcW w:w="1134" w:type="dxa"/>
            <w:tcBorders>
              <w:top w:val="nil"/>
              <w:left w:val="nil"/>
              <w:bottom w:val="nil"/>
              <w:right w:val="nil"/>
            </w:tcBorders>
            <w:shd w:val="clear" w:color="auto" w:fill="auto"/>
          </w:tcPr>
          <w:p w14:paraId="0DAE5A72"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74D071F8"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02412A52" w14:textId="77777777" w:rsidTr="0050100A">
        <w:trPr>
          <w:jc w:val="center"/>
        </w:trPr>
        <w:tc>
          <w:tcPr>
            <w:tcW w:w="1134" w:type="dxa"/>
            <w:vMerge/>
            <w:tcBorders>
              <w:top w:val="nil"/>
              <w:left w:val="nil"/>
              <w:bottom w:val="nil"/>
              <w:right w:val="nil"/>
            </w:tcBorders>
            <w:shd w:val="clear" w:color="auto" w:fill="auto"/>
            <w:vAlign w:val="center"/>
          </w:tcPr>
          <w:p w14:paraId="59A024F9"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6FB759D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26</w:t>
            </w:r>
          </w:p>
        </w:tc>
        <w:tc>
          <w:tcPr>
            <w:tcW w:w="3685" w:type="dxa"/>
            <w:tcBorders>
              <w:top w:val="nil"/>
              <w:left w:val="nil"/>
              <w:bottom w:val="nil"/>
              <w:right w:val="nil"/>
            </w:tcBorders>
          </w:tcPr>
          <w:p w14:paraId="67FF8BB0"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Diagnostic devices should be sensitive enough for detecting very light schistosomiasis infections. </w:t>
            </w:r>
          </w:p>
        </w:tc>
        <w:tc>
          <w:tcPr>
            <w:tcW w:w="1134" w:type="dxa"/>
            <w:tcBorders>
              <w:top w:val="nil"/>
              <w:left w:val="nil"/>
              <w:bottom w:val="nil"/>
              <w:right w:val="nil"/>
            </w:tcBorders>
            <w:shd w:val="clear" w:color="auto" w:fill="auto"/>
          </w:tcPr>
          <w:p w14:paraId="519ECA75"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0.88</w:t>
            </w:r>
          </w:p>
        </w:tc>
        <w:tc>
          <w:tcPr>
            <w:tcW w:w="2693" w:type="dxa"/>
            <w:tcBorders>
              <w:top w:val="nil"/>
              <w:left w:val="nil"/>
              <w:bottom w:val="nil"/>
              <w:right w:val="nil"/>
            </w:tcBorders>
            <w:shd w:val="clear" w:color="auto" w:fill="auto"/>
          </w:tcPr>
          <w:p w14:paraId="53C9DD71"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6F1BE81C" w14:textId="77777777" w:rsidTr="0050100A">
        <w:trPr>
          <w:jc w:val="center"/>
        </w:trPr>
        <w:tc>
          <w:tcPr>
            <w:tcW w:w="1134" w:type="dxa"/>
            <w:vMerge/>
            <w:tcBorders>
              <w:top w:val="nil"/>
              <w:left w:val="nil"/>
              <w:bottom w:val="nil"/>
              <w:right w:val="nil"/>
            </w:tcBorders>
            <w:shd w:val="clear" w:color="auto" w:fill="auto"/>
            <w:vAlign w:val="center"/>
          </w:tcPr>
          <w:p w14:paraId="19013F58"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5FE7C53F"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27</w:t>
            </w:r>
          </w:p>
        </w:tc>
        <w:tc>
          <w:tcPr>
            <w:tcW w:w="3685" w:type="dxa"/>
            <w:tcBorders>
              <w:top w:val="nil"/>
              <w:left w:val="nil"/>
              <w:bottom w:val="nil"/>
              <w:right w:val="nil"/>
            </w:tcBorders>
          </w:tcPr>
          <w:p w14:paraId="5986EE28"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Diagnostic devices should have their own reliable power sources due to the unstable power connectivity in rural and distant communities. </w:t>
            </w:r>
          </w:p>
        </w:tc>
        <w:tc>
          <w:tcPr>
            <w:tcW w:w="1134" w:type="dxa"/>
            <w:tcBorders>
              <w:top w:val="nil"/>
              <w:left w:val="nil"/>
              <w:bottom w:val="nil"/>
              <w:right w:val="nil"/>
            </w:tcBorders>
            <w:shd w:val="clear" w:color="auto" w:fill="auto"/>
          </w:tcPr>
          <w:p w14:paraId="286B606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0.88</w:t>
            </w:r>
          </w:p>
        </w:tc>
        <w:tc>
          <w:tcPr>
            <w:tcW w:w="2693" w:type="dxa"/>
            <w:tcBorders>
              <w:top w:val="nil"/>
              <w:left w:val="nil"/>
              <w:bottom w:val="nil"/>
              <w:right w:val="nil"/>
            </w:tcBorders>
            <w:shd w:val="clear" w:color="auto" w:fill="auto"/>
          </w:tcPr>
          <w:p w14:paraId="3A5F2504"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19C362D2" w14:textId="77777777" w:rsidTr="0050100A">
        <w:trPr>
          <w:jc w:val="center"/>
        </w:trPr>
        <w:tc>
          <w:tcPr>
            <w:tcW w:w="1134" w:type="dxa"/>
            <w:vMerge/>
            <w:tcBorders>
              <w:top w:val="nil"/>
              <w:left w:val="nil"/>
              <w:bottom w:val="nil"/>
              <w:right w:val="nil"/>
            </w:tcBorders>
            <w:shd w:val="clear" w:color="auto" w:fill="auto"/>
            <w:vAlign w:val="center"/>
          </w:tcPr>
          <w:p w14:paraId="1CA47C53"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6D424342"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28</w:t>
            </w:r>
          </w:p>
        </w:tc>
        <w:tc>
          <w:tcPr>
            <w:tcW w:w="3685" w:type="dxa"/>
            <w:tcBorders>
              <w:top w:val="nil"/>
              <w:left w:val="nil"/>
              <w:bottom w:val="nil"/>
              <w:right w:val="nil"/>
            </w:tcBorders>
          </w:tcPr>
          <w:p w14:paraId="221B2347"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The best diagnostic devices should be easy to transport safely in cars, on motorbikes, and bicycles to remote locations.  </w:t>
            </w:r>
          </w:p>
        </w:tc>
        <w:tc>
          <w:tcPr>
            <w:tcW w:w="1134" w:type="dxa"/>
            <w:tcBorders>
              <w:top w:val="nil"/>
              <w:left w:val="nil"/>
              <w:bottom w:val="nil"/>
              <w:right w:val="nil"/>
            </w:tcBorders>
            <w:shd w:val="clear" w:color="auto" w:fill="auto"/>
          </w:tcPr>
          <w:p w14:paraId="06252EA4"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0.88</w:t>
            </w:r>
          </w:p>
        </w:tc>
        <w:tc>
          <w:tcPr>
            <w:tcW w:w="2693" w:type="dxa"/>
            <w:tcBorders>
              <w:top w:val="nil"/>
              <w:left w:val="nil"/>
              <w:bottom w:val="nil"/>
              <w:right w:val="nil"/>
            </w:tcBorders>
            <w:shd w:val="clear" w:color="auto" w:fill="auto"/>
          </w:tcPr>
          <w:p w14:paraId="5B7B06D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00700EC3" w14:textId="77777777" w:rsidTr="0050100A">
        <w:trPr>
          <w:jc w:val="center"/>
        </w:trPr>
        <w:tc>
          <w:tcPr>
            <w:tcW w:w="1134" w:type="dxa"/>
            <w:vMerge/>
            <w:tcBorders>
              <w:top w:val="nil"/>
              <w:left w:val="nil"/>
              <w:bottom w:val="nil"/>
              <w:right w:val="nil"/>
            </w:tcBorders>
            <w:shd w:val="clear" w:color="auto" w:fill="auto"/>
            <w:vAlign w:val="center"/>
          </w:tcPr>
          <w:p w14:paraId="77B2C28A"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1FDE2770"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29</w:t>
            </w:r>
          </w:p>
        </w:tc>
        <w:tc>
          <w:tcPr>
            <w:tcW w:w="3685" w:type="dxa"/>
            <w:tcBorders>
              <w:top w:val="nil"/>
              <w:left w:val="nil"/>
              <w:bottom w:val="nil"/>
              <w:right w:val="nil"/>
            </w:tcBorders>
          </w:tcPr>
          <w:p w14:paraId="289BBE8B"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Diagnostic devices should be compact and portable so that it can be easily deployed in the community. </w:t>
            </w:r>
          </w:p>
        </w:tc>
        <w:tc>
          <w:tcPr>
            <w:tcW w:w="1134" w:type="dxa"/>
            <w:tcBorders>
              <w:top w:val="nil"/>
              <w:left w:val="nil"/>
              <w:bottom w:val="nil"/>
              <w:right w:val="nil"/>
            </w:tcBorders>
            <w:shd w:val="clear" w:color="auto" w:fill="auto"/>
          </w:tcPr>
          <w:p w14:paraId="79E99F94"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129BDCB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7D45876D" w14:textId="77777777" w:rsidTr="0050100A">
        <w:trPr>
          <w:jc w:val="center"/>
        </w:trPr>
        <w:tc>
          <w:tcPr>
            <w:tcW w:w="1134" w:type="dxa"/>
            <w:vMerge/>
            <w:tcBorders>
              <w:top w:val="nil"/>
              <w:left w:val="nil"/>
              <w:bottom w:val="nil"/>
              <w:right w:val="nil"/>
            </w:tcBorders>
            <w:shd w:val="clear" w:color="auto" w:fill="auto"/>
            <w:vAlign w:val="center"/>
          </w:tcPr>
          <w:p w14:paraId="65F308FB"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37AC8397"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30</w:t>
            </w:r>
          </w:p>
        </w:tc>
        <w:tc>
          <w:tcPr>
            <w:tcW w:w="3685" w:type="dxa"/>
            <w:tcBorders>
              <w:top w:val="nil"/>
              <w:left w:val="nil"/>
              <w:bottom w:val="nil"/>
              <w:right w:val="nil"/>
            </w:tcBorders>
          </w:tcPr>
          <w:p w14:paraId="70410734"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Diagnostic devices/tests should identify and map out areas with a large spread of schistosomiasis and be able to trace the source of the disease. </w:t>
            </w:r>
          </w:p>
        </w:tc>
        <w:tc>
          <w:tcPr>
            <w:tcW w:w="1134" w:type="dxa"/>
            <w:tcBorders>
              <w:top w:val="nil"/>
              <w:left w:val="nil"/>
              <w:bottom w:val="nil"/>
              <w:right w:val="nil"/>
            </w:tcBorders>
            <w:shd w:val="clear" w:color="auto" w:fill="auto"/>
          </w:tcPr>
          <w:p w14:paraId="09BE3D72"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6247F316"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4E645786" w14:textId="77777777" w:rsidTr="0050100A">
        <w:trPr>
          <w:jc w:val="center"/>
        </w:trPr>
        <w:tc>
          <w:tcPr>
            <w:tcW w:w="1134" w:type="dxa"/>
            <w:vMerge/>
            <w:tcBorders>
              <w:top w:val="nil"/>
              <w:left w:val="nil"/>
              <w:bottom w:val="nil"/>
              <w:right w:val="nil"/>
            </w:tcBorders>
            <w:shd w:val="clear" w:color="auto" w:fill="auto"/>
            <w:vAlign w:val="center"/>
          </w:tcPr>
          <w:p w14:paraId="6F696B23"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3A401860"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31</w:t>
            </w:r>
          </w:p>
        </w:tc>
        <w:tc>
          <w:tcPr>
            <w:tcW w:w="3685" w:type="dxa"/>
            <w:tcBorders>
              <w:top w:val="nil"/>
              <w:left w:val="nil"/>
              <w:bottom w:val="nil"/>
              <w:right w:val="nil"/>
            </w:tcBorders>
          </w:tcPr>
          <w:p w14:paraId="47F3DBB0" w14:textId="77777777" w:rsidR="00F26A7A" w:rsidRPr="00425AA7" w:rsidRDefault="00F26A7A" w:rsidP="0050100A">
            <w:pPr>
              <w:pStyle w:val="MDPI42tablebody"/>
              <w:tabs>
                <w:tab w:val="left" w:pos="2333"/>
              </w:tabs>
              <w:jc w:val="left"/>
              <w:rPr>
                <w:rFonts w:ascii="Times New Roman" w:hAnsi="Times New Roman"/>
                <w:sz w:val="24"/>
                <w:szCs w:val="24"/>
              </w:rPr>
            </w:pPr>
            <w:r w:rsidRPr="00425AA7">
              <w:rPr>
                <w:rFonts w:ascii="Times New Roman" w:hAnsi="Times New Roman"/>
                <w:sz w:val="24"/>
                <w:szCs w:val="24"/>
              </w:rPr>
              <w:t>Devices should be locally repaired and maintained by local technicians in case of breakdown.</w:t>
            </w:r>
          </w:p>
        </w:tc>
        <w:tc>
          <w:tcPr>
            <w:tcW w:w="1134" w:type="dxa"/>
            <w:tcBorders>
              <w:top w:val="nil"/>
              <w:left w:val="nil"/>
              <w:bottom w:val="nil"/>
              <w:right w:val="nil"/>
            </w:tcBorders>
            <w:shd w:val="clear" w:color="auto" w:fill="auto"/>
          </w:tcPr>
          <w:p w14:paraId="713FCD58"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37B5A414"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2B42C39A" w14:textId="77777777" w:rsidTr="0050100A">
        <w:trPr>
          <w:jc w:val="center"/>
        </w:trPr>
        <w:tc>
          <w:tcPr>
            <w:tcW w:w="1134" w:type="dxa"/>
            <w:vMerge/>
            <w:tcBorders>
              <w:top w:val="nil"/>
              <w:left w:val="nil"/>
              <w:bottom w:val="single" w:sz="4" w:space="0" w:color="auto"/>
              <w:right w:val="nil"/>
            </w:tcBorders>
            <w:shd w:val="clear" w:color="auto" w:fill="auto"/>
            <w:vAlign w:val="center"/>
            <w:hideMark/>
          </w:tcPr>
          <w:p w14:paraId="7A7E9BB9"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single" w:sz="4" w:space="0" w:color="auto"/>
              <w:right w:val="nil"/>
            </w:tcBorders>
            <w:shd w:val="clear" w:color="auto" w:fill="auto"/>
            <w:hideMark/>
          </w:tcPr>
          <w:p w14:paraId="6629058F"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32</w:t>
            </w:r>
          </w:p>
        </w:tc>
        <w:tc>
          <w:tcPr>
            <w:tcW w:w="3685" w:type="dxa"/>
            <w:tcBorders>
              <w:top w:val="nil"/>
              <w:left w:val="nil"/>
              <w:bottom w:val="single" w:sz="4" w:space="0" w:color="auto"/>
              <w:right w:val="nil"/>
            </w:tcBorders>
          </w:tcPr>
          <w:p w14:paraId="4EC73ACE"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The device should be easy to clean and disinfect to prevent re-contamination. </w:t>
            </w:r>
          </w:p>
        </w:tc>
        <w:tc>
          <w:tcPr>
            <w:tcW w:w="1134" w:type="dxa"/>
            <w:tcBorders>
              <w:top w:val="nil"/>
              <w:left w:val="nil"/>
              <w:bottom w:val="single" w:sz="4" w:space="0" w:color="auto"/>
              <w:right w:val="nil"/>
            </w:tcBorders>
            <w:shd w:val="clear" w:color="auto" w:fill="auto"/>
          </w:tcPr>
          <w:p w14:paraId="4C27D457"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single" w:sz="4" w:space="0" w:color="auto"/>
              <w:right w:val="nil"/>
            </w:tcBorders>
            <w:shd w:val="clear" w:color="auto" w:fill="auto"/>
          </w:tcPr>
          <w:p w14:paraId="2F09EFD6"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4BD40C7A" w14:textId="77777777" w:rsidTr="0050100A">
        <w:trPr>
          <w:jc w:val="center"/>
        </w:trPr>
        <w:tc>
          <w:tcPr>
            <w:tcW w:w="1134" w:type="dxa"/>
            <w:vMerge w:val="restart"/>
            <w:tcBorders>
              <w:top w:val="single" w:sz="4" w:space="0" w:color="auto"/>
              <w:left w:val="nil"/>
              <w:bottom w:val="nil"/>
              <w:right w:val="nil"/>
            </w:tcBorders>
            <w:shd w:val="clear" w:color="auto" w:fill="auto"/>
            <w:hideMark/>
          </w:tcPr>
          <w:p w14:paraId="3B56C323"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Roll-out</w:t>
            </w:r>
          </w:p>
          <w:p w14:paraId="0A88E78A"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strategy</w:t>
            </w:r>
          </w:p>
        </w:tc>
        <w:tc>
          <w:tcPr>
            <w:tcW w:w="426" w:type="dxa"/>
            <w:tcBorders>
              <w:top w:val="single" w:sz="4" w:space="0" w:color="auto"/>
              <w:left w:val="nil"/>
              <w:bottom w:val="nil"/>
              <w:right w:val="nil"/>
            </w:tcBorders>
            <w:shd w:val="clear" w:color="auto" w:fill="auto"/>
            <w:hideMark/>
          </w:tcPr>
          <w:p w14:paraId="41275A19"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33</w:t>
            </w:r>
          </w:p>
        </w:tc>
        <w:tc>
          <w:tcPr>
            <w:tcW w:w="3685" w:type="dxa"/>
            <w:tcBorders>
              <w:top w:val="single" w:sz="4" w:space="0" w:color="auto"/>
              <w:left w:val="nil"/>
              <w:bottom w:val="nil"/>
              <w:right w:val="nil"/>
            </w:tcBorders>
          </w:tcPr>
          <w:p w14:paraId="1DB83711"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The cost per diagnostic test should be free (covered by the Government).</w:t>
            </w:r>
          </w:p>
        </w:tc>
        <w:tc>
          <w:tcPr>
            <w:tcW w:w="1134" w:type="dxa"/>
            <w:tcBorders>
              <w:top w:val="single" w:sz="4" w:space="0" w:color="auto"/>
              <w:left w:val="nil"/>
              <w:bottom w:val="nil"/>
              <w:right w:val="nil"/>
            </w:tcBorders>
            <w:shd w:val="clear" w:color="auto" w:fill="auto"/>
          </w:tcPr>
          <w:p w14:paraId="3F2553A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single" w:sz="4" w:space="0" w:color="auto"/>
              <w:left w:val="nil"/>
              <w:bottom w:val="nil"/>
              <w:right w:val="nil"/>
            </w:tcBorders>
            <w:shd w:val="clear" w:color="auto" w:fill="auto"/>
          </w:tcPr>
          <w:p w14:paraId="1607FF26"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74345FEC" w14:textId="77777777" w:rsidTr="0050100A">
        <w:trPr>
          <w:jc w:val="center"/>
        </w:trPr>
        <w:tc>
          <w:tcPr>
            <w:tcW w:w="1134" w:type="dxa"/>
            <w:vMerge/>
            <w:tcBorders>
              <w:top w:val="nil"/>
              <w:left w:val="nil"/>
              <w:bottom w:val="nil"/>
              <w:right w:val="nil"/>
            </w:tcBorders>
            <w:shd w:val="clear" w:color="auto" w:fill="auto"/>
            <w:vAlign w:val="center"/>
          </w:tcPr>
          <w:p w14:paraId="20EF7C97"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1E8B5F49"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34</w:t>
            </w:r>
          </w:p>
        </w:tc>
        <w:tc>
          <w:tcPr>
            <w:tcW w:w="3685" w:type="dxa"/>
            <w:tcBorders>
              <w:top w:val="nil"/>
              <w:left w:val="nil"/>
              <w:bottom w:val="nil"/>
              <w:right w:val="nil"/>
            </w:tcBorders>
          </w:tcPr>
          <w:p w14:paraId="63D3305C"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Cost per diagnostic test should be less than 1000 Naira (€2).</w:t>
            </w:r>
          </w:p>
        </w:tc>
        <w:tc>
          <w:tcPr>
            <w:tcW w:w="1134" w:type="dxa"/>
            <w:tcBorders>
              <w:top w:val="nil"/>
              <w:left w:val="nil"/>
              <w:bottom w:val="nil"/>
              <w:right w:val="nil"/>
            </w:tcBorders>
            <w:shd w:val="clear" w:color="auto" w:fill="auto"/>
          </w:tcPr>
          <w:p w14:paraId="37F32625"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060B226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5D747265" w14:textId="77777777" w:rsidTr="0050100A">
        <w:trPr>
          <w:jc w:val="center"/>
        </w:trPr>
        <w:tc>
          <w:tcPr>
            <w:tcW w:w="1134" w:type="dxa"/>
            <w:vMerge/>
            <w:tcBorders>
              <w:top w:val="nil"/>
              <w:left w:val="nil"/>
              <w:bottom w:val="nil"/>
              <w:right w:val="nil"/>
            </w:tcBorders>
            <w:shd w:val="clear" w:color="auto" w:fill="auto"/>
            <w:vAlign w:val="center"/>
          </w:tcPr>
          <w:p w14:paraId="1850E702"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72BAFE62"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35</w:t>
            </w:r>
          </w:p>
        </w:tc>
        <w:tc>
          <w:tcPr>
            <w:tcW w:w="3685" w:type="dxa"/>
            <w:tcBorders>
              <w:top w:val="nil"/>
              <w:left w:val="nil"/>
              <w:bottom w:val="nil"/>
              <w:right w:val="nil"/>
            </w:tcBorders>
          </w:tcPr>
          <w:p w14:paraId="0ABDDA75"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Mass drug administration campaigns should be accompanied by mass diagnostic and disease awareness campaigns. </w:t>
            </w:r>
          </w:p>
        </w:tc>
        <w:tc>
          <w:tcPr>
            <w:tcW w:w="1134" w:type="dxa"/>
            <w:tcBorders>
              <w:top w:val="nil"/>
              <w:left w:val="nil"/>
              <w:bottom w:val="nil"/>
              <w:right w:val="nil"/>
            </w:tcBorders>
            <w:shd w:val="clear" w:color="auto" w:fill="auto"/>
          </w:tcPr>
          <w:p w14:paraId="307280D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33C66744"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12F52E03" w14:textId="77777777" w:rsidTr="0050100A">
        <w:trPr>
          <w:jc w:val="center"/>
        </w:trPr>
        <w:tc>
          <w:tcPr>
            <w:tcW w:w="1134" w:type="dxa"/>
            <w:vMerge/>
            <w:tcBorders>
              <w:top w:val="nil"/>
              <w:left w:val="nil"/>
              <w:bottom w:val="nil"/>
              <w:right w:val="nil"/>
            </w:tcBorders>
            <w:shd w:val="clear" w:color="auto" w:fill="auto"/>
            <w:vAlign w:val="center"/>
          </w:tcPr>
          <w:p w14:paraId="57556C99"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0334169B"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36</w:t>
            </w:r>
          </w:p>
        </w:tc>
        <w:tc>
          <w:tcPr>
            <w:tcW w:w="3685" w:type="dxa"/>
            <w:tcBorders>
              <w:top w:val="nil"/>
              <w:left w:val="nil"/>
              <w:bottom w:val="nil"/>
              <w:right w:val="nil"/>
            </w:tcBorders>
          </w:tcPr>
          <w:p w14:paraId="0053F6CE"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Data from diagnostic devices should be accessible to stakeholders (local government, DSNO, MOH, Researchers and NGOs) to enhance planning.</w:t>
            </w:r>
          </w:p>
        </w:tc>
        <w:tc>
          <w:tcPr>
            <w:tcW w:w="1134" w:type="dxa"/>
            <w:tcBorders>
              <w:top w:val="nil"/>
              <w:left w:val="nil"/>
              <w:bottom w:val="nil"/>
              <w:right w:val="nil"/>
            </w:tcBorders>
            <w:shd w:val="clear" w:color="auto" w:fill="auto"/>
          </w:tcPr>
          <w:p w14:paraId="302FDCAF"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3731F79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01666681" w14:textId="77777777" w:rsidTr="0050100A">
        <w:trPr>
          <w:jc w:val="center"/>
        </w:trPr>
        <w:tc>
          <w:tcPr>
            <w:tcW w:w="1134" w:type="dxa"/>
            <w:vMerge/>
            <w:tcBorders>
              <w:top w:val="nil"/>
              <w:left w:val="nil"/>
              <w:bottom w:val="nil"/>
              <w:right w:val="nil"/>
            </w:tcBorders>
            <w:shd w:val="clear" w:color="auto" w:fill="auto"/>
            <w:vAlign w:val="center"/>
          </w:tcPr>
          <w:p w14:paraId="62F2D2C0"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188BE94B"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37</w:t>
            </w:r>
          </w:p>
        </w:tc>
        <w:tc>
          <w:tcPr>
            <w:tcW w:w="3685" w:type="dxa"/>
            <w:tcBorders>
              <w:top w:val="nil"/>
              <w:left w:val="nil"/>
              <w:bottom w:val="nil"/>
              <w:right w:val="nil"/>
            </w:tcBorders>
          </w:tcPr>
          <w:p w14:paraId="4A81980B"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New interventions should consider training the health care workers at the community level and the informal sector (PMVs and traditional medicine) to increase coverage to diagnostics.</w:t>
            </w:r>
          </w:p>
        </w:tc>
        <w:tc>
          <w:tcPr>
            <w:tcW w:w="1134" w:type="dxa"/>
            <w:tcBorders>
              <w:top w:val="nil"/>
              <w:left w:val="nil"/>
              <w:bottom w:val="nil"/>
              <w:right w:val="nil"/>
            </w:tcBorders>
            <w:shd w:val="clear" w:color="auto" w:fill="auto"/>
          </w:tcPr>
          <w:p w14:paraId="68B2C7DE"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2DAA82B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3EA97211" w14:textId="77777777" w:rsidTr="0050100A">
        <w:trPr>
          <w:jc w:val="center"/>
        </w:trPr>
        <w:tc>
          <w:tcPr>
            <w:tcW w:w="1134" w:type="dxa"/>
            <w:vMerge/>
            <w:tcBorders>
              <w:top w:val="nil"/>
              <w:left w:val="nil"/>
              <w:bottom w:val="nil"/>
              <w:right w:val="nil"/>
            </w:tcBorders>
            <w:shd w:val="clear" w:color="auto" w:fill="auto"/>
            <w:vAlign w:val="center"/>
          </w:tcPr>
          <w:p w14:paraId="50770E2C"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02678761"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38</w:t>
            </w:r>
          </w:p>
        </w:tc>
        <w:tc>
          <w:tcPr>
            <w:tcW w:w="3685" w:type="dxa"/>
            <w:tcBorders>
              <w:top w:val="nil"/>
              <w:left w:val="nil"/>
              <w:bottom w:val="nil"/>
              <w:right w:val="nil"/>
            </w:tcBorders>
          </w:tcPr>
          <w:p w14:paraId="58C14790"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Diagnostic tools for schistosomiasis should be deployed and used at the community level by PMVs and community mobilizers as they already serve as trusted stakeholders in the community.  </w:t>
            </w:r>
          </w:p>
        </w:tc>
        <w:tc>
          <w:tcPr>
            <w:tcW w:w="1134" w:type="dxa"/>
            <w:tcBorders>
              <w:top w:val="nil"/>
              <w:left w:val="nil"/>
              <w:bottom w:val="nil"/>
              <w:right w:val="nil"/>
            </w:tcBorders>
            <w:shd w:val="clear" w:color="auto" w:fill="auto"/>
          </w:tcPr>
          <w:p w14:paraId="09E3496B"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6F8439C7"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68AB0A61" w14:textId="77777777" w:rsidTr="0050100A">
        <w:trPr>
          <w:jc w:val="center"/>
        </w:trPr>
        <w:tc>
          <w:tcPr>
            <w:tcW w:w="1134" w:type="dxa"/>
            <w:vMerge/>
            <w:tcBorders>
              <w:top w:val="nil"/>
              <w:left w:val="nil"/>
              <w:bottom w:val="nil"/>
              <w:right w:val="nil"/>
            </w:tcBorders>
            <w:shd w:val="clear" w:color="auto" w:fill="auto"/>
            <w:vAlign w:val="center"/>
          </w:tcPr>
          <w:p w14:paraId="0589C9E0"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nil"/>
              <w:right w:val="nil"/>
            </w:tcBorders>
            <w:shd w:val="clear" w:color="auto" w:fill="auto"/>
          </w:tcPr>
          <w:p w14:paraId="121245BC"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39</w:t>
            </w:r>
          </w:p>
        </w:tc>
        <w:tc>
          <w:tcPr>
            <w:tcW w:w="3685" w:type="dxa"/>
            <w:tcBorders>
              <w:top w:val="nil"/>
              <w:left w:val="nil"/>
              <w:bottom w:val="nil"/>
              <w:right w:val="nil"/>
            </w:tcBorders>
          </w:tcPr>
          <w:p w14:paraId="6209E8FA"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The role of the village/community head is important in the acceptance of the new diagnostic device.</w:t>
            </w:r>
          </w:p>
        </w:tc>
        <w:tc>
          <w:tcPr>
            <w:tcW w:w="1134" w:type="dxa"/>
            <w:tcBorders>
              <w:top w:val="nil"/>
              <w:left w:val="nil"/>
              <w:bottom w:val="nil"/>
              <w:right w:val="nil"/>
            </w:tcBorders>
            <w:shd w:val="clear" w:color="auto" w:fill="auto"/>
          </w:tcPr>
          <w:p w14:paraId="313BBB0D"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nil"/>
              <w:right w:val="nil"/>
            </w:tcBorders>
            <w:shd w:val="clear" w:color="auto" w:fill="auto"/>
          </w:tcPr>
          <w:p w14:paraId="5B83C1B4"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r w:rsidR="00F26A7A" w:rsidRPr="00425AA7" w14:paraId="53EBCDCD" w14:textId="77777777" w:rsidTr="0050100A">
        <w:trPr>
          <w:jc w:val="center"/>
        </w:trPr>
        <w:tc>
          <w:tcPr>
            <w:tcW w:w="1134" w:type="dxa"/>
            <w:vMerge/>
            <w:tcBorders>
              <w:top w:val="nil"/>
              <w:left w:val="nil"/>
              <w:bottom w:val="single" w:sz="4" w:space="0" w:color="auto"/>
              <w:right w:val="nil"/>
            </w:tcBorders>
            <w:shd w:val="clear" w:color="auto" w:fill="auto"/>
            <w:vAlign w:val="center"/>
            <w:hideMark/>
          </w:tcPr>
          <w:p w14:paraId="04BA0BFA" w14:textId="77777777" w:rsidR="00F26A7A" w:rsidRPr="00425AA7" w:rsidRDefault="00F26A7A" w:rsidP="0050100A">
            <w:pPr>
              <w:pStyle w:val="MDPI42tablebody"/>
              <w:jc w:val="left"/>
              <w:rPr>
                <w:rFonts w:ascii="Times New Roman" w:hAnsi="Times New Roman"/>
                <w:sz w:val="24"/>
                <w:szCs w:val="24"/>
              </w:rPr>
            </w:pPr>
          </w:p>
        </w:tc>
        <w:tc>
          <w:tcPr>
            <w:tcW w:w="426" w:type="dxa"/>
            <w:tcBorders>
              <w:top w:val="nil"/>
              <w:left w:val="nil"/>
              <w:bottom w:val="single" w:sz="4" w:space="0" w:color="auto"/>
              <w:right w:val="nil"/>
            </w:tcBorders>
            <w:shd w:val="clear" w:color="auto" w:fill="auto"/>
          </w:tcPr>
          <w:p w14:paraId="706A1609"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40</w:t>
            </w:r>
          </w:p>
        </w:tc>
        <w:tc>
          <w:tcPr>
            <w:tcW w:w="3685" w:type="dxa"/>
            <w:tcBorders>
              <w:top w:val="nil"/>
              <w:left w:val="nil"/>
              <w:bottom w:val="single" w:sz="4" w:space="0" w:color="auto"/>
              <w:right w:val="nil"/>
            </w:tcBorders>
          </w:tcPr>
          <w:p w14:paraId="30DC5B85" w14:textId="77777777" w:rsidR="00F26A7A" w:rsidRPr="00425AA7" w:rsidRDefault="00F26A7A" w:rsidP="0050100A">
            <w:pPr>
              <w:pStyle w:val="MDPI42tablebody"/>
              <w:jc w:val="left"/>
              <w:rPr>
                <w:rFonts w:ascii="Times New Roman" w:hAnsi="Times New Roman"/>
                <w:sz w:val="24"/>
                <w:szCs w:val="24"/>
              </w:rPr>
            </w:pPr>
            <w:r w:rsidRPr="00425AA7">
              <w:rPr>
                <w:rFonts w:ascii="Times New Roman" w:hAnsi="Times New Roman"/>
                <w:sz w:val="24"/>
                <w:szCs w:val="24"/>
              </w:rPr>
              <w:t>Patients with schistosomiasis should be tested before being treated.</w:t>
            </w:r>
          </w:p>
        </w:tc>
        <w:tc>
          <w:tcPr>
            <w:tcW w:w="1134" w:type="dxa"/>
            <w:tcBorders>
              <w:top w:val="nil"/>
              <w:left w:val="nil"/>
              <w:bottom w:val="single" w:sz="4" w:space="0" w:color="auto"/>
              <w:right w:val="nil"/>
            </w:tcBorders>
            <w:shd w:val="clear" w:color="auto" w:fill="auto"/>
          </w:tcPr>
          <w:p w14:paraId="10AFC7B9"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1.00</w:t>
            </w:r>
          </w:p>
        </w:tc>
        <w:tc>
          <w:tcPr>
            <w:tcW w:w="2693" w:type="dxa"/>
            <w:tcBorders>
              <w:top w:val="nil"/>
              <w:left w:val="nil"/>
              <w:bottom w:val="single" w:sz="4" w:space="0" w:color="auto"/>
              <w:right w:val="nil"/>
            </w:tcBorders>
            <w:shd w:val="clear" w:color="auto" w:fill="auto"/>
          </w:tcPr>
          <w:p w14:paraId="428DC5D8" w14:textId="77777777" w:rsidR="00F26A7A" w:rsidRPr="00425AA7" w:rsidRDefault="00F26A7A" w:rsidP="0050100A">
            <w:pPr>
              <w:pStyle w:val="MDPI42tablebody"/>
              <w:rPr>
                <w:rFonts w:ascii="Times New Roman" w:hAnsi="Times New Roman"/>
                <w:sz w:val="24"/>
                <w:szCs w:val="24"/>
              </w:rPr>
            </w:pPr>
            <w:r w:rsidRPr="00425AA7">
              <w:rPr>
                <w:rFonts w:ascii="Times New Roman" w:hAnsi="Times New Roman"/>
                <w:sz w:val="24"/>
                <w:szCs w:val="24"/>
              </w:rPr>
              <w:t>N/A</w:t>
            </w:r>
          </w:p>
        </w:tc>
      </w:tr>
    </w:tbl>
    <w:p w14:paraId="11D6EECE" w14:textId="5F661284" w:rsidR="00760886" w:rsidRDefault="00760886">
      <w:pPr>
        <w:rPr>
          <w:rFonts w:ascii="Times New Roman" w:hAnsi="Times New Roman"/>
          <w:sz w:val="24"/>
          <w:szCs w:val="24"/>
        </w:rPr>
      </w:pPr>
    </w:p>
    <w:p w14:paraId="69E1286B" w14:textId="77777777" w:rsidR="00760886" w:rsidRDefault="00760886">
      <w:pPr>
        <w:spacing w:after="160" w:line="259" w:lineRule="auto"/>
        <w:jc w:val="left"/>
        <w:rPr>
          <w:rFonts w:ascii="Times New Roman" w:hAnsi="Times New Roman"/>
          <w:sz w:val="24"/>
          <w:szCs w:val="24"/>
        </w:rPr>
      </w:pPr>
      <w:r>
        <w:rPr>
          <w:rFonts w:ascii="Times New Roman" w:hAnsi="Times New Roman"/>
          <w:sz w:val="24"/>
          <w:szCs w:val="24"/>
        </w:rPr>
        <w:br w:type="page"/>
      </w:r>
    </w:p>
    <w:p w14:paraId="7DD8823C" w14:textId="7144EEEE" w:rsidR="00760886" w:rsidRPr="00F028D3" w:rsidRDefault="00760886" w:rsidP="00760886">
      <w:pPr>
        <w:rPr>
          <w:rFonts w:ascii="Times New Roman" w:hAnsi="Times New Roman"/>
          <w:b/>
          <w:iCs/>
          <w:color w:val="4472C4" w:themeColor="accent1"/>
          <w:u w:val="single"/>
        </w:rPr>
      </w:pPr>
      <w:r w:rsidRPr="00F028D3">
        <w:rPr>
          <w:rFonts w:ascii="Times New Roman" w:hAnsi="Times New Roman"/>
          <w:b/>
          <w:iCs/>
          <w:color w:val="4472C4" w:themeColor="accent1"/>
          <w:u w:val="single"/>
        </w:rPr>
        <w:t>Supplement</w:t>
      </w:r>
      <w:r>
        <w:rPr>
          <w:rFonts w:ascii="Times New Roman" w:hAnsi="Times New Roman"/>
          <w:b/>
          <w:iCs/>
          <w:color w:val="4472C4" w:themeColor="accent1"/>
          <w:u w:val="single"/>
        </w:rPr>
        <w:t xml:space="preserve"> </w:t>
      </w:r>
      <w:r w:rsidR="00D056F5">
        <w:rPr>
          <w:rFonts w:ascii="Times New Roman" w:hAnsi="Times New Roman"/>
          <w:b/>
          <w:iCs/>
          <w:color w:val="4472C4" w:themeColor="accent1"/>
          <w:u w:val="single"/>
        </w:rPr>
        <w:t xml:space="preserve">2 </w:t>
      </w:r>
      <w:r>
        <w:rPr>
          <w:rFonts w:ascii="Times New Roman" w:hAnsi="Times New Roman"/>
          <w:b/>
          <w:iCs/>
          <w:color w:val="4472C4" w:themeColor="accent1"/>
          <w:u w:val="single"/>
        </w:rPr>
        <w:t>Table.</w:t>
      </w:r>
      <w:r w:rsidRPr="00F028D3">
        <w:rPr>
          <w:rFonts w:ascii="Times New Roman" w:hAnsi="Times New Roman"/>
          <w:b/>
          <w:iCs/>
          <w:color w:val="4472C4" w:themeColor="accent1"/>
          <w:u w:val="single"/>
        </w:rPr>
        <w:t xml:space="preserve"> </w:t>
      </w:r>
      <w:r w:rsidRPr="00344E84">
        <w:rPr>
          <w:rFonts w:ascii="Times New Roman" w:hAnsi="Times New Roman"/>
          <w:b/>
          <w:iCs/>
          <w:color w:val="4472C4" w:themeColor="accent1"/>
          <w:u w:val="single"/>
        </w:rPr>
        <w:t>Content validity and reliability ratings</w:t>
      </w:r>
    </w:p>
    <w:p w14:paraId="59B09570" w14:textId="77777777" w:rsidR="00760886" w:rsidRDefault="00760886" w:rsidP="00760886"/>
    <w:p w14:paraId="6661E0E5" w14:textId="77777777" w:rsidR="00760886" w:rsidRDefault="00760886" w:rsidP="00760886"/>
    <w:tbl>
      <w:tblPr>
        <w:tblW w:w="9356" w:type="dxa"/>
        <w:tblLayout w:type="fixed"/>
        <w:tblCellMar>
          <w:left w:w="0" w:type="dxa"/>
          <w:right w:w="0" w:type="dxa"/>
        </w:tblCellMar>
        <w:tblLook w:val="04A0" w:firstRow="1" w:lastRow="0" w:firstColumn="1" w:lastColumn="0" w:noHBand="0" w:noVBand="1"/>
      </w:tblPr>
      <w:tblGrid>
        <w:gridCol w:w="2977"/>
        <w:gridCol w:w="1843"/>
        <w:gridCol w:w="1701"/>
        <w:gridCol w:w="1276"/>
        <w:gridCol w:w="1559"/>
      </w:tblGrid>
      <w:tr w:rsidR="00760886" w:rsidRPr="000E4875" w14:paraId="3FF754B9" w14:textId="77777777" w:rsidTr="000F6E75">
        <w:tc>
          <w:tcPr>
            <w:tcW w:w="9356" w:type="dxa"/>
            <w:gridSpan w:val="5"/>
            <w:tcBorders>
              <w:top w:val="single" w:sz="12" w:space="0" w:color="4472C4" w:themeColor="accent1"/>
              <w:bottom w:val="single" w:sz="12" w:space="0" w:color="4472C4" w:themeColor="accent1"/>
            </w:tcBorders>
            <w:shd w:val="clear" w:color="auto" w:fill="auto"/>
            <w:vAlign w:val="center"/>
          </w:tcPr>
          <w:p w14:paraId="53FDB105" w14:textId="0B0AB5F5" w:rsidR="00760886" w:rsidRPr="000E4875" w:rsidRDefault="00760886" w:rsidP="000F6E75">
            <w:pPr>
              <w:pStyle w:val="MDPI42tablebody"/>
              <w:spacing w:line="240" w:lineRule="auto"/>
              <w:jc w:val="both"/>
              <w:rPr>
                <w:rFonts w:ascii="Times New Roman" w:hAnsi="Times New Roman"/>
                <w:sz w:val="22"/>
                <w:szCs w:val="22"/>
              </w:rPr>
            </w:pPr>
            <w:bookmarkStart w:id="1" w:name="_Ref71122016"/>
            <w:r w:rsidRPr="000E4875">
              <w:rPr>
                <w:rFonts w:ascii="Times New Roman" w:hAnsi="Times New Roman"/>
                <w:b/>
                <w:bCs/>
                <w:sz w:val="22"/>
                <w:szCs w:val="22"/>
              </w:rPr>
              <w:t>Table</w:t>
            </w:r>
            <w:bookmarkEnd w:id="1"/>
            <w:r w:rsidRPr="000E4875">
              <w:rPr>
                <w:rFonts w:ascii="Times New Roman" w:hAnsi="Times New Roman"/>
                <w:sz w:val="22"/>
                <w:szCs w:val="22"/>
              </w:rPr>
              <w:t xml:space="preserve">. Content validity and reliability ratings for each of the 40 statements in the Q-set. </w:t>
            </w:r>
          </w:p>
          <w:p w14:paraId="467CE203" w14:textId="77777777" w:rsidR="00760886" w:rsidRPr="000E4875" w:rsidRDefault="00760886" w:rsidP="000F6E75">
            <w:pPr>
              <w:pStyle w:val="MDPI42tablebody"/>
              <w:spacing w:line="240" w:lineRule="auto"/>
              <w:jc w:val="both"/>
              <w:rPr>
                <w:rFonts w:ascii="Times New Roman" w:hAnsi="Times New Roman"/>
                <w:b/>
                <w:snapToGrid/>
                <w:sz w:val="22"/>
                <w:szCs w:val="22"/>
              </w:rPr>
            </w:pPr>
            <w:r w:rsidRPr="000E4875">
              <w:rPr>
                <w:rFonts w:ascii="Times New Roman" w:hAnsi="Times New Roman"/>
                <w:sz w:val="22"/>
                <w:szCs w:val="22"/>
              </w:rPr>
              <w:t>1 = not at all; 2 = somewhat, 3 = mostly, 4 = completely.</w:t>
            </w:r>
          </w:p>
        </w:tc>
      </w:tr>
      <w:tr w:rsidR="00760886" w:rsidRPr="000E4875" w14:paraId="29D779D9" w14:textId="77777777" w:rsidTr="000F6E75">
        <w:tc>
          <w:tcPr>
            <w:tcW w:w="2977" w:type="dxa"/>
            <w:tcBorders>
              <w:top w:val="single" w:sz="12" w:space="0" w:color="4472C4" w:themeColor="accent1"/>
              <w:bottom w:val="single" w:sz="12" w:space="0" w:color="auto"/>
            </w:tcBorders>
            <w:shd w:val="clear" w:color="auto" w:fill="auto"/>
            <w:vAlign w:val="center"/>
          </w:tcPr>
          <w:p w14:paraId="0E7A0990" w14:textId="77777777" w:rsidR="00760886" w:rsidRPr="000E4875" w:rsidRDefault="00760886" w:rsidP="000F6E75">
            <w:pPr>
              <w:pStyle w:val="MDPI42tablebody"/>
              <w:spacing w:line="240" w:lineRule="auto"/>
              <w:jc w:val="both"/>
              <w:rPr>
                <w:rFonts w:ascii="Times New Roman" w:hAnsi="Times New Roman"/>
                <w:b/>
                <w:snapToGrid/>
                <w:sz w:val="22"/>
                <w:szCs w:val="22"/>
              </w:rPr>
            </w:pPr>
          </w:p>
        </w:tc>
        <w:tc>
          <w:tcPr>
            <w:tcW w:w="1843" w:type="dxa"/>
            <w:tcBorders>
              <w:top w:val="single" w:sz="12" w:space="0" w:color="4472C4" w:themeColor="accent1"/>
              <w:bottom w:val="single" w:sz="12" w:space="0" w:color="auto"/>
            </w:tcBorders>
            <w:shd w:val="clear" w:color="auto" w:fill="auto"/>
            <w:vAlign w:val="center"/>
          </w:tcPr>
          <w:p w14:paraId="7ACD904E" w14:textId="77777777" w:rsidR="00760886" w:rsidRPr="000E4875" w:rsidRDefault="00760886" w:rsidP="000F6E75">
            <w:pPr>
              <w:pStyle w:val="MDPI42tablebody"/>
              <w:spacing w:line="240" w:lineRule="auto"/>
              <w:rPr>
                <w:rFonts w:ascii="Times New Roman" w:hAnsi="Times New Roman"/>
                <w:b/>
                <w:snapToGrid/>
                <w:sz w:val="22"/>
                <w:szCs w:val="22"/>
              </w:rPr>
            </w:pPr>
            <w:r w:rsidRPr="000E4875">
              <w:rPr>
                <w:rFonts w:ascii="Times New Roman" w:hAnsi="Times New Roman"/>
                <w:b/>
                <w:snapToGrid/>
                <w:sz w:val="22"/>
                <w:szCs w:val="22"/>
              </w:rPr>
              <w:t>Not at all</w:t>
            </w:r>
          </w:p>
        </w:tc>
        <w:tc>
          <w:tcPr>
            <w:tcW w:w="1701" w:type="dxa"/>
            <w:tcBorders>
              <w:top w:val="single" w:sz="12" w:space="0" w:color="4472C4" w:themeColor="accent1"/>
              <w:bottom w:val="single" w:sz="12" w:space="0" w:color="auto"/>
            </w:tcBorders>
            <w:shd w:val="clear" w:color="auto" w:fill="auto"/>
            <w:vAlign w:val="center"/>
          </w:tcPr>
          <w:p w14:paraId="3B260CFA" w14:textId="77777777" w:rsidR="00760886" w:rsidRPr="000E4875" w:rsidRDefault="00760886" w:rsidP="000F6E75">
            <w:pPr>
              <w:pStyle w:val="MDPI42tablebody"/>
              <w:spacing w:line="240" w:lineRule="auto"/>
              <w:rPr>
                <w:rFonts w:ascii="Times New Roman" w:hAnsi="Times New Roman"/>
                <w:b/>
                <w:snapToGrid/>
                <w:sz w:val="22"/>
                <w:szCs w:val="22"/>
              </w:rPr>
            </w:pPr>
            <w:r w:rsidRPr="000E4875">
              <w:rPr>
                <w:rFonts w:ascii="Times New Roman" w:hAnsi="Times New Roman"/>
                <w:b/>
                <w:snapToGrid/>
                <w:sz w:val="22"/>
                <w:szCs w:val="22"/>
              </w:rPr>
              <w:t>Somewhat</w:t>
            </w:r>
          </w:p>
        </w:tc>
        <w:tc>
          <w:tcPr>
            <w:tcW w:w="1276" w:type="dxa"/>
            <w:tcBorders>
              <w:top w:val="single" w:sz="12" w:space="0" w:color="4472C4" w:themeColor="accent1"/>
              <w:bottom w:val="single" w:sz="12" w:space="0" w:color="auto"/>
            </w:tcBorders>
          </w:tcPr>
          <w:p w14:paraId="3DCCAA69" w14:textId="77777777" w:rsidR="00760886" w:rsidRPr="000E4875" w:rsidRDefault="00760886" w:rsidP="000F6E75">
            <w:pPr>
              <w:pStyle w:val="MDPI42tablebody"/>
              <w:spacing w:line="240" w:lineRule="auto"/>
              <w:rPr>
                <w:rFonts w:ascii="Times New Roman" w:hAnsi="Times New Roman"/>
                <w:b/>
                <w:snapToGrid/>
                <w:sz w:val="22"/>
                <w:szCs w:val="22"/>
              </w:rPr>
            </w:pPr>
            <w:r w:rsidRPr="000E4875">
              <w:rPr>
                <w:rFonts w:ascii="Times New Roman" w:hAnsi="Times New Roman"/>
                <w:b/>
                <w:snapToGrid/>
                <w:sz w:val="22"/>
                <w:szCs w:val="22"/>
              </w:rPr>
              <w:t>Mostly</w:t>
            </w:r>
          </w:p>
        </w:tc>
        <w:tc>
          <w:tcPr>
            <w:tcW w:w="1559" w:type="dxa"/>
            <w:tcBorders>
              <w:top w:val="single" w:sz="12" w:space="0" w:color="4472C4" w:themeColor="accent1"/>
              <w:bottom w:val="single" w:sz="12" w:space="0" w:color="auto"/>
            </w:tcBorders>
          </w:tcPr>
          <w:p w14:paraId="6FB264F2" w14:textId="77777777" w:rsidR="00760886" w:rsidRPr="000E4875" w:rsidRDefault="00760886" w:rsidP="000F6E75">
            <w:pPr>
              <w:pStyle w:val="MDPI42tablebody"/>
              <w:spacing w:line="240" w:lineRule="auto"/>
              <w:rPr>
                <w:rFonts w:ascii="Times New Roman" w:hAnsi="Times New Roman"/>
                <w:b/>
                <w:snapToGrid/>
                <w:sz w:val="22"/>
                <w:szCs w:val="22"/>
              </w:rPr>
            </w:pPr>
            <w:r w:rsidRPr="000E4875">
              <w:rPr>
                <w:rFonts w:ascii="Times New Roman" w:hAnsi="Times New Roman"/>
                <w:b/>
                <w:snapToGrid/>
                <w:sz w:val="22"/>
                <w:szCs w:val="22"/>
              </w:rPr>
              <w:t>Completely</w:t>
            </w:r>
          </w:p>
        </w:tc>
      </w:tr>
      <w:tr w:rsidR="00760886" w:rsidRPr="000E4875" w14:paraId="68B647C1" w14:textId="77777777" w:rsidTr="000F6E75">
        <w:tc>
          <w:tcPr>
            <w:tcW w:w="2977" w:type="dxa"/>
            <w:tcBorders>
              <w:top w:val="single" w:sz="12" w:space="0" w:color="auto"/>
              <w:bottom w:val="single" w:sz="4" w:space="0" w:color="A5A5A5" w:themeColor="accent3"/>
            </w:tcBorders>
            <w:shd w:val="clear" w:color="auto" w:fill="auto"/>
            <w:vAlign w:val="center"/>
          </w:tcPr>
          <w:p w14:paraId="4A6A3CE4" w14:textId="77777777" w:rsidR="00760886" w:rsidRPr="000E4875" w:rsidRDefault="00760886" w:rsidP="000F6E75">
            <w:pPr>
              <w:pStyle w:val="MDPI42tablebody"/>
              <w:spacing w:line="240" w:lineRule="auto"/>
              <w:jc w:val="left"/>
              <w:rPr>
                <w:rFonts w:ascii="Times New Roman" w:hAnsi="Times New Roman"/>
                <w:sz w:val="22"/>
                <w:szCs w:val="22"/>
              </w:rPr>
            </w:pPr>
            <w:r w:rsidRPr="000E4875">
              <w:rPr>
                <w:rFonts w:ascii="Times New Roman" w:hAnsi="Times New Roman"/>
                <w:sz w:val="22"/>
                <w:szCs w:val="22"/>
              </w:rPr>
              <w:t>The statement is clear and unambiguous as would be read by the participants</w:t>
            </w:r>
          </w:p>
        </w:tc>
        <w:tc>
          <w:tcPr>
            <w:tcW w:w="1843" w:type="dxa"/>
            <w:tcBorders>
              <w:top w:val="single" w:sz="12" w:space="0" w:color="auto"/>
              <w:bottom w:val="single" w:sz="4" w:space="0" w:color="A5A5A5" w:themeColor="accent3"/>
            </w:tcBorders>
            <w:shd w:val="clear" w:color="auto" w:fill="auto"/>
            <w:vAlign w:val="center"/>
          </w:tcPr>
          <w:p w14:paraId="68AEE678" w14:textId="77777777" w:rsidR="00760886" w:rsidRPr="000E4875" w:rsidRDefault="00760886" w:rsidP="000F6E75">
            <w:pPr>
              <w:pStyle w:val="MDPI42tablebody"/>
              <w:spacing w:line="240" w:lineRule="auto"/>
              <w:rPr>
                <w:rFonts w:ascii="Times New Roman" w:hAnsi="Times New Roman"/>
                <w:sz w:val="22"/>
                <w:szCs w:val="22"/>
              </w:rPr>
            </w:pPr>
            <w:r w:rsidRPr="000E4875">
              <w:rPr>
                <w:rFonts w:ascii="Times New Roman" w:hAnsi="Times New Roman"/>
                <w:sz w:val="22"/>
                <w:szCs w:val="22"/>
              </w:rPr>
              <w:t>1</w:t>
            </w:r>
          </w:p>
        </w:tc>
        <w:tc>
          <w:tcPr>
            <w:tcW w:w="1701" w:type="dxa"/>
            <w:tcBorders>
              <w:top w:val="single" w:sz="12" w:space="0" w:color="auto"/>
              <w:bottom w:val="single" w:sz="4" w:space="0" w:color="A5A5A5" w:themeColor="accent3"/>
            </w:tcBorders>
            <w:shd w:val="clear" w:color="auto" w:fill="auto"/>
            <w:vAlign w:val="center"/>
          </w:tcPr>
          <w:p w14:paraId="18CC7C29" w14:textId="77777777" w:rsidR="00760886" w:rsidRPr="000E4875" w:rsidRDefault="00760886" w:rsidP="000F6E75">
            <w:pPr>
              <w:pStyle w:val="MDPI42tablebody"/>
              <w:spacing w:line="240" w:lineRule="auto"/>
              <w:rPr>
                <w:rFonts w:ascii="Times New Roman" w:hAnsi="Times New Roman"/>
                <w:sz w:val="22"/>
                <w:szCs w:val="22"/>
              </w:rPr>
            </w:pPr>
            <w:r w:rsidRPr="000E4875">
              <w:rPr>
                <w:rFonts w:ascii="Times New Roman" w:hAnsi="Times New Roman"/>
                <w:sz w:val="22"/>
                <w:szCs w:val="22"/>
              </w:rPr>
              <w:t>2</w:t>
            </w:r>
          </w:p>
        </w:tc>
        <w:tc>
          <w:tcPr>
            <w:tcW w:w="1276" w:type="dxa"/>
            <w:tcBorders>
              <w:top w:val="single" w:sz="12" w:space="0" w:color="auto"/>
              <w:bottom w:val="single" w:sz="4" w:space="0" w:color="A5A5A5" w:themeColor="accent3"/>
            </w:tcBorders>
            <w:vAlign w:val="center"/>
          </w:tcPr>
          <w:p w14:paraId="77C40051" w14:textId="77777777" w:rsidR="00760886" w:rsidRPr="000E4875" w:rsidRDefault="00760886" w:rsidP="000F6E75">
            <w:pPr>
              <w:pStyle w:val="MDPI42tablebody"/>
              <w:spacing w:line="240" w:lineRule="auto"/>
              <w:rPr>
                <w:rFonts w:ascii="Times New Roman" w:hAnsi="Times New Roman"/>
                <w:sz w:val="22"/>
                <w:szCs w:val="22"/>
              </w:rPr>
            </w:pPr>
            <w:r w:rsidRPr="000E4875">
              <w:rPr>
                <w:rFonts w:ascii="Times New Roman" w:hAnsi="Times New Roman"/>
                <w:sz w:val="22"/>
                <w:szCs w:val="22"/>
              </w:rPr>
              <w:t>3</w:t>
            </w:r>
          </w:p>
        </w:tc>
        <w:tc>
          <w:tcPr>
            <w:tcW w:w="1559" w:type="dxa"/>
            <w:tcBorders>
              <w:top w:val="single" w:sz="12" w:space="0" w:color="auto"/>
              <w:bottom w:val="single" w:sz="4" w:space="0" w:color="A5A5A5" w:themeColor="accent3"/>
            </w:tcBorders>
            <w:vAlign w:val="center"/>
          </w:tcPr>
          <w:p w14:paraId="354D11F2" w14:textId="77777777" w:rsidR="00760886" w:rsidRPr="000E4875" w:rsidRDefault="00760886" w:rsidP="000F6E75">
            <w:pPr>
              <w:pStyle w:val="MDPI42tablebody"/>
              <w:spacing w:line="240" w:lineRule="auto"/>
              <w:rPr>
                <w:rFonts w:ascii="Times New Roman" w:hAnsi="Times New Roman"/>
                <w:sz w:val="22"/>
                <w:szCs w:val="22"/>
              </w:rPr>
            </w:pPr>
            <w:r w:rsidRPr="000E4875">
              <w:rPr>
                <w:rFonts w:ascii="Times New Roman" w:hAnsi="Times New Roman"/>
                <w:sz w:val="22"/>
                <w:szCs w:val="22"/>
              </w:rPr>
              <w:t>4</w:t>
            </w:r>
          </w:p>
        </w:tc>
      </w:tr>
      <w:tr w:rsidR="00760886" w:rsidRPr="000E4875" w14:paraId="6966FEC9" w14:textId="77777777" w:rsidTr="000F6E75">
        <w:tc>
          <w:tcPr>
            <w:tcW w:w="2977" w:type="dxa"/>
            <w:tcBorders>
              <w:top w:val="single" w:sz="4" w:space="0" w:color="A5A5A5" w:themeColor="accent3"/>
              <w:bottom w:val="single" w:sz="12" w:space="0" w:color="auto"/>
            </w:tcBorders>
            <w:shd w:val="clear" w:color="auto" w:fill="auto"/>
            <w:vAlign w:val="center"/>
          </w:tcPr>
          <w:p w14:paraId="33EBA4F6" w14:textId="77777777" w:rsidR="00760886" w:rsidRPr="000E4875" w:rsidRDefault="00760886" w:rsidP="000F6E75">
            <w:pPr>
              <w:pStyle w:val="MDPI42tablebody"/>
              <w:spacing w:line="240" w:lineRule="auto"/>
              <w:jc w:val="left"/>
              <w:rPr>
                <w:rFonts w:ascii="Times New Roman" w:hAnsi="Times New Roman"/>
                <w:sz w:val="22"/>
                <w:szCs w:val="22"/>
              </w:rPr>
            </w:pPr>
            <w:r w:rsidRPr="000E4875">
              <w:rPr>
                <w:rFonts w:ascii="Times New Roman" w:hAnsi="Times New Roman"/>
                <w:sz w:val="22"/>
                <w:szCs w:val="22"/>
              </w:rPr>
              <w:t>The statement illustrates heterogeneity (depth and breadth)</w:t>
            </w:r>
          </w:p>
        </w:tc>
        <w:tc>
          <w:tcPr>
            <w:tcW w:w="1843" w:type="dxa"/>
            <w:tcBorders>
              <w:top w:val="single" w:sz="4" w:space="0" w:color="A5A5A5" w:themeColor="accent3"/>
              <w:bottom w:val="single" w:sz="12" w:space="0" w:color="auto"/>
            </w:tcBorders>
            <w:shd w:val="clear" w:color="auto" w:fill="auto"/>
            <w:vAlign w:val="center"/>
          </w:tcPr>
          <w:p w14:paraId="72242FC8" w14:textId="77777777" w:rsidR="00760886" w:rsidRPr="000E4875" w:rsidRDefault="00760886" w:rsidP="000F6E75">
            <w:pPr>
              <w:pStyle w:val="MDPI42tablebody"/>
              <w:spacing w:line="240" w:lineRule="auto"/>
              <w:rPr>
                <w:rFonts w:ascii="Times New Roman" w:hAnsi="Times New Roman"/>
                <w:sz w:val="22"/>
                <w:szCs w:val="22"/>
              </w:rPr>
            </w:pPr>
            <w:r w:rsidRPr="000E4875">
              <w:rPr>
                <w:rFonts w:ascii="Times New Roman" w:hAnsi="Times New Roman"/>
                <w:sz w:val="22"/>
                <w:szCs w:val="22"/>
              </w:rPr>
              <w:t>1</w:t>
            </w:r>
          </w:p>
        </w:tc>
        <w:tc>
          <w:tcPr>
            <w:tcW w:w="1701" w:type="dxa"/>
            <w:tcBorders>
              <w:top w:val="single" w:sz="4" w:space="0" w:color="A5A5A5" w:themeColor="accent3"/>
              <w:bottom w:val="single" w:sz="12" w:space="0" w:color="auto"/>
            </w:tcBorders>
            <w:shd w:val="clear" w:color="auto" w:fill="auto"/>
            <w:vAlign w:val="center"/>
          </w:tcPr>
          <w:p w14:paraId="7149F142" w14:textId="77777777" w:rsidR="00760886" w:rsidRPr="000E4875" w:rsidRDefault="00760886" w:rsidP="000F6E75">
            <w:pPr>
              <w:pStyle w:val="MDPI42tablebody"/>
              <w:spacing w:line="240" w:lineRule="auto"/>
              <w:rPr>
                <w:rFonts w:ascii="Times New Roman" w:hAnsi="Times New Roman"/>
                <w:sz w:val="22"/>
                <w:szCs w:val="22"/>
              </w:rPr>
            </w:pPr>
            <w:r w:rsidRPr="000E4875">
              <w:rPr>
                <w:rFonts w:ascii="Times New Roman" w:hAnsi="Times New Roman"/>
                <w:sz w:val="22"/>
                <w:szCs w:val="22"/>
              </w:rPr>
              <w:t>2</w:t>
            </w:r>
          </w:p>
        </w:tc>
        <w:tc>
          <w:tcPr>
            <w:tcW w:w="1276" w:type="dxa"/>
            <w:tcBorders>
              <w:top w:val="single" w:sz="4" w:space="0" w:color="A5A5A5" w:themeColor="accent3"/>
              <w:bottom w:val="single" w:sz="12" w:space="0" w:color="auto"/>
            </w:tcBorders>
            <w:vAlign w:val="center"/>
          </w:tcPr>
          <w:p w14:paraId="3CB95681" w14:textId="77777777" w:rsidR="00760886" w:rsidRPr="000E4875" w:rsidRDefault="00760886" w:rsidP="000F6E75">
            <w:pPr>
              <w:pStyle w:val="MDPI42tablebody"/>
              <w:spacing w:line="240" w:lineRule="auto"/>
              <w:rPr>
                <w:rFonts w:ascii="Times New Roman" w:hAnsi="Times New Roman"/>
                <w:sz w:val="22"/>
                <w:szCs w:val="22"/>
              </w:rPr>
            </w:pPr>
            <w:r w:rsidRPr="000E4875">
              <w:rPr>
                <w:rFonts w:ascii="Times New Roman" w:hAnsi="Times New Roman"/>
                <w:sz w:val="22"/>
                <w:szCs w:val="22"/>
              </w:rPr>
              <w:t>3</w:t>
            </w:r>
          </w:p>
        </w:tc>
        <w:tc>
          <w:tcPr>
            <w:tcW w:w="1559" w:type="dxa"/>
            <w:tcBorders>
              <w:top w:val="single" w:sz="4" w:space="0" w:color="A5A5A5" w:themeColor="accent3"/>
              <w:bottom w:val="single" w:sz="12" w:space="0" w:color="auto"/>
            </w:tcBorders>
            <w:vAlign w:val="center"/>
          </w:tcPr>
          <w:p w14:paraId="2D387180" w14:textId="77777777" w:rsidR="00760886" w:rsidRPr="000E4875" w:rsidRDefault="00760886" w:rsidP="000F6E75">
            <w:pPr>
              <w:pStyle w:val="MDPI42tablebody"/>
              <w:keepNext/>
              <w:spacing w:line="240" w:lineRule="auto"/>
              <w:rPr>
                <w:rFonts w:ascii="Times New Roman" w:hAnsi="Times New Roman"/>
                <w:sz w:val="22"/>
                <w:szCs w:val="22"/>
              </w:rPr>
            </w:pPr>
            <w:r w:rsidRPr="000E4875">
              <w:rPr>
                <w:rFonts w:ascii="Times New Roman" w:hAnsi="Times New Roman"/>
                <w:sz w:val="22"/>
                <w:szCs w:val="22"/>
              </w:rPr>
              <w:t>4</w:t>
            </w:r>
          </w:p>
        </w:tc>
      </w:tr>
    </w:tbl>
    <w:p w14:paraId="2F494335" w14:textId="77777777" w:rsidR="00760886" w:rsidRDefault="00760886" w:rsidP="00760886"/>
    <w:p w14:paraId="20D9D250" w14:textId="77777777" w:rsidR="005878AB" w:rsidRPr="00425AA7" w:rsidRDefault="005878AB">
      <w:pPr>
        <w:rPr>
          <w:rFonts w:ascii="Times New Roman" w:hAnsi="Times New Roman"/>
          <w:sz w:val="24"/>
          <w:szCs w:val="24"/>
        </w:rPr>
      </w:pPr>
    </w:p>
    <w:sectPr w:rsidR="005878AB" w:rsidRPr="00425A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1581" w14:textId="77777777" w:rsidR="006C3B17" w:rsidRDefault="006C3B17" w:rsidP="00AA153B">
      <w:pPr>
        <w:spacing w:line="240" w:lineRule="auto"/>
      </w:pPr>
      <w:r>
        <w:separator/>
      </w:r>
    </w:p>
  </w:endnote>
  <w:endnote w:type="continuationSeparator" w:id="0">
    <w:p w14:paraId="2F959FA2" w14:textId="77777777" w:rsidR="006C3B17" w:rsidRDefault="006C3B17" w:rsidP="00AA1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5868" w14:textId="77777777" w:rsidR="00AA153B" w:rsidRDefault="00AA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D45F" w14:textId="77777777" w:rsidR="00AA153B" w:rsidRDefault="00AA1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AE1C" w14:textId="77777777" w:rsidR="00AA153B" w:rsidRDefault="00AA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255E" w14:textId="77777777" w:rsidR="006C3B17" w:rsidRDefault="006C3B17" w:rsidP="00AA153B">
      <w:pPr>
        <w:spacing w:line="240" w:lineRule="auto"/>
      </w:pPr>
      <w:r>
        <w:separator/>
      </w:r>
    </w:p>
  </w:footnote>
  <w:footnote w:type="continuationSeparator" w:id="0">
    <w:p w14:paraId="47B87D86" w14:textId="77777777" w:rsidR="006C3B17" w:rsidRDefault="006C3B17" w:rsidP="00AA15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2317" w14:textId="77777777" w:rsidR="00AA153B" w:rsidRDefault="00AA1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4814" w14:textId="1BA3DBE3" w:rsidR="00AA153B" w:rsidRPr="00AA153B" w:rsidRDefault="00AA153B">
    <w:pPr>
      <w:pStyle w:val="Header"/>
      <w:rPr>
        <w:rFonts w:ascii="Times New Roman" w:hAnsi="Times New Roman"/>
        <w:color w:val="000000" w:themeColor="text1"/>
      </w:rPr>
    </w:pPr>
    <w:r w:rsidRPr="00AA153B">
      <w:rPr>
        <w:rFonts w:ascii="Times New Roman" w:hAnsi="Times New Roman"/>
        <w:b/>
        <w:color w:val="000000" w:themeColor="text1"/>
      </w:rPr>
      <w:t>Supplement to</w:t>
    </w:r>
    <w:r w:rsidRPr="00AA153B">
      <w:rPr>
        <w:rFonts w:ascii="Times New Roman" w:hAnsi="Times New Roman"/>
        <w:color w:val="000000" w:themeColor="text1"/>
      </w:rPr>
      <w:t xml:space="preserve">: Samenjo KT, Bengtson M, Onasanya A, et al. Stakeholders’ perspectives on use and application of a new diagnostic device for urinary schistosomiasis in Oyo-State Nigeria: a Q-methodology approach. </w:t>
    </w:r>
    <w:r w:rsidRPr="00AA153B">
      <w:rPr>
        <w:rFonts w:ascii="Times New Roman" w:hAnsi="Times New Roman"/>
        <w:i/>
        <w:iCs/>
        <w:color w:val="000000" w:themeColor="text1"/>
      </w:rPr>
      <w:t>Glob Health Sci Pract</w:t>
    </w:r>
    <w:r w:rsidRPr="00AA153B">
      <w:rPr>
        <w:rFonts w:ascii="Times New Roman" w:hAnsi="Times New Roman"/>
        <w:color w:val="000000" w:themeColor="text1"/>
      </w:rPr>
      <w:t>. 2022;10(4):e2100780.</w:t>
    </w:r>
  </w:p>
  <w:p w14:paraId="7FD0ED5E" w14:textId="77777777" w:rsidR="00AA153B" w:rsidRDefault="00AA1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5593" w14:textId="77777777" w:rsidR="00AA153B" w:rsidRDefault="00AA1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7A"/>
    <w:rsid w:val="0002789F"/>
    <w:rsid w:val="00067C3E"/>
    <w:rsid w:val="00151363"/>
    <w:rsid w:val="0018608D"/>
    <w:rsid w:val="00425AA7"/>
    <w:rsid w:val="005878AB"/>
    <w:rsid w:val="006C3B17"/>
    <w:rsid w:val="00760886"/>
    <w:rsid w:val="008C0949"/>
    <w:rsid w:val="008C5E73"/>
    <w:rsid w:val="00AA153B"/>
    <w:rsid w:val="00B32C78"/>
    <w:rsid w:val="00B52C49"/>
    <w:rsid w:val="00D056F5"/>
    <w:rsid w:val="00F2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789A"/>
  <w15:chartTrackingRefBased/>
  <w15:docId w15:val="{F44605DE-1903-4D97-9972-611D857C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7A"/>
    <w:pPr>
      <w:spacing w:after="0" w:line="260" w:lineRule="atLeast"/>
      <w:jc w:val="both"/>
    </w:pPr>
    <w:rPr>
      <w:rFonts w:ascii="Palatino Linotype" w:eastAsia="SimSun" w:hAnsi="Palatino Linotype" w:cs="Times New Roman"/>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42tablebody">
    <w:name w:val="MDPI_4.2_table_body"/>
    <w:qFormat/>
    <w:rsid w:val="00F26A7A"/>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styleId="NormalWeb">
    <w:name w:val="Normal (Web)"/>
    <w:basedOn w:val="Normal"/>
    <w:uiPriority w:val="99"/>
    <w:rsid w:val="00F26A7A"/>
    <w:rPr>
      <w:szCs w:val="24"/>
    </w:rPr>
  </w:style>
  <w:style w:type="paragraph" w:styleId="Header">
    <w:name w:val="header"/>
    <w:basedOn w:val="Normal"/>
    <w:link w:val="HeaderChar"/>
    <w:uiPriority w:val="99"/>
    <w:unhideWhenUsed/>
    <w:rsid w:val="00AA153B"/>
    <w:pPr>
      <w:tabs>
        <w:tab w:val="center" w:pos="4680"/>
        <w:tab w:val="right" w:pos="9360"/>
      </w:tabs>
      <w:spacing w:line="240" w:lineRule="auto"/>
    </w:pPr>
  </w:style>
  <w:style w:type="character" w:customStyle="1" w:styleId="HeaderChar">
    <w:name w:val="Header Char"/>
    <w:basedOn w:val="DefaultParagraphFont"/>
    <w:link w:val="Header"/>
    <w:uiPriority w:val="99"/>
    <w:rsid w:val="00AA153B"/>
    <w:rPr>
      <w:rFonts w:ascii="Palatino Linotype" w:eastAsia="SimSun" w:hAnsi="Palatino Linotype" w:cs="Times New Roman"/>
      <w:color w:val="000000"/>
      <w:sz w:val="20"/>
      <w:szCs w:val="20"/>
      <w:lang w:eastAsia="zh-CN"/>
    </w:rPr>
  </w:style>
  <w:style w:type="paragraph" w:styleId="Footer">
    <w:name w:val="footer"/>
    <w:basedOn w:val="Normal"/>
    <w:link w:val="FooterChar"/>
    <w:uiPriority w:val="99"/>
    <w:unhideWhenUsed/>
    <w:rsid w:val="00AA153B"/>
    <w:pPr>
      <w:tabs>
        <w:tab w:val="center" w:pos="4680"/>
        <w:tab w:val="right" w:pos="9360"/>
      </w:tabs>
      <w:spacing w:line="240" w:lineRule="auto"/>
    </w:pPr>
  </w:style>
  <w:style w:type="character" w:customStyle="1" w:styleId="FooterChar">
    <w:name w:val="Footer Char"/>
    <w:basedOn w:val="DefaultParagraphFont"/>
    <w:link w:val="Footer"/>
    <w:uiPriority w:val="99"/>
    <w:rsid w:val="00AA153B"/>
    <w:rPr>
      <w:rFonts w:ascii="Palatino Linotype" w:eastAsia="SimSun" w:hAnsi="Palatino Linotype"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1005</Words>
  <Characters>5743</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Heinz</dc:creator>
  <cp:keywords/>
  <dc:description/>
  <cp:lastModifiedBy>Sonia Abraham</cp:lastModifiedBy>
  <cp:revision>6</cp:revision>
  <dcterms:created xsi:type="dcterms:W3CDTF">2022-06-28T15:59:00Z</dcterms:created>
  <dcterms:modified xsi:type="dcterms:W3CDTF">2022-07-14T18:16:00Z</dcterms:modified>
</cp:coreProperties>
</file>