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28CF" w14:textId="49F6C807" w:rsidR="00952FFE" w:rsidRPr="00236C97" w:rsidRDefault="007224AD" w:rsidP="00952FF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SUPPLEMENT </w:t>
      </w:r>
      <w:r w:rsidR="00952FFE">
        <w:rPr>
          <w:rFonts w:asciiTheme="minorBidi" w:hAnsiTheme="minorBidi"/>
          <w:b/>
          <w:bCs/>
          <w:sz w:val="20"/>
          <w:szCs w:val="20"/>
        </w:rPr>
        <w:t>2</w:t>
      </w:r>
      <w:r>
        <w:rPr>
          <w:rFonts w:asciiTheme="minorBidi" w:hAnsiTheme="minorBidi"/>
          <w:b/>
          <w:bCs/>
          <w:sz w:val="20"/>
          <w:szCs w:val="20"/>
        </w:rPr>
        <w:t>.</w:t>
      </w:r>
      <w:r w:rsidR="00952FFE" w:rsidRPr="00236C97">
        <w:rPr>
          <w:rFonts w:asciiTheme="minorBidi" w:hAnsiTheme="minorBidi"/>
          <w:sz w:val="20"/>
          <w:szCs w:val="20"/>
        </w:rPr>
        <w:t xml:space="preserve"> Sensitivity </w:t>
      </w:r>
      <w:r w:rsidRPr="007224AD">
        <w:rPr>
          <w:rFonts w:asciiTheme="minorBidi" w:hAnsiTheme="minorBidi"/>
          <w:sz w:val="20"/>
          <w:szCs w:val="20"/>
        </w:rPr>
        <w:t>A</w:t>
      </w:r>
      <w:r w:rsidR="00952FFE" w:rsidRPr="00236C97">
        <w:rPr>
          <w:rFonts w:asciiTheme="minorBidi" w:hAnsiTheme="minorBidi"/>
          <w:sz w:val="20"/>
          <w:szCs w:val="20"/>
        </w:rPr>
        <w:t xml:space="preserve">nalysis: Unadjusted and </w:t>
      </w:r>
      <w:r w:rsidRPr="007224AD">
        <w:rPr>
          <w:rFonts w:asciiTheme="minorBidi" w:hAnsiTheme="minorBidi"/>
          <w:sz w:val="20"/>
          <w:szCs w:val="20"/>
        </w:rPr>
        <w:t>Adjusted Hazard Rati</w:t>
      </w:r>
      <w:r w:rsidR="00952FFE" w:rsidRPr="00236C97">
        <w:rPr>
          <w:rFonts w:asciiTheme="minorBidi" w:hAnsiTheme="minorBidi"/>
          <w:sz w:val="20"/>
          <w:szCs w:val="20"/>
        </w:rPr>
        <w:t xml:space="preserve">os for </w:t>
      </w:r>
      <w:r w:rsidRPr="007224AD">
        <w:rPr>
          <w:rFonts w:asciiTheme="minorBidi" w:hAnsiTheme="minorBidi"/>
          <w:sz w:val="20"/>
          <w:szCs w:val="20"/>
        </w:rPr>
        <w:t>D</w:t>
      </w:r>
      <w:r w:rsidR="00952FFE" w:rsidRPr="00236C97">
        <w:rPr>
          <w:rFonts w:asciiTheme="minorBidi" w:hAnsiTheme="minorBidi"/>
          <w:sz w:val="20"/>
          <w:szCs w:val="20"/>
        </w:rPr>
        <w:t xml:space="preserve">iscontinuation, by </w:t>
      </w:r>
      <w:r w:rsidRPr="007224AD">
        <w:rPr>
          <w:rFonts w:asciiTheme="minorBidi" w:hAnsiTheme="minorBidi"/>
          <w:sz w:val="20"/>
          <w:szCs w:val="20"/>
        </w:rPr>
        <w:t>Individual Quality Variabl</w:t>
      </w:r>
      <w:r w:rsidR="00952FFE" w:rsidRPr="00236C97">
        <w:rPr>
          <w:rFonts w:asciiTheme="minorBidi" w:hAnsiTheme="minorBidi"/>
          <w:sz w:val="20"/>
          <w:szCs w:val="20"/>
        </w:rPr>
        <w:t xml:space="preserve">es and </w:t>
      </w:r>
      <w:r w:rsidRPr="007224AD">
        <w:rPr>
          <w:rFonts w:asciiTheme="minorBidi" w:hAnsiTheme="minorBidi"/>
          <w:sz w:val="20"/>
          <w:szCs w:val="20"/>
        </w:rPr>
        <w:t>Country</w:t>
      </w:r>
    </w:p>
    <w:tbl>
      <w:tblPr>
        <w:tblStyle w:val="TableGrid"/>
        <w:tblW w:w="11521" w:type="dxa"/>
        <w:tblLayout w:type="fixed"/>
        <w:tblLook w:val="04A0" w:firstRow="1" w:lastRow="0" w:firstColumn="1" w:lastColumn="0" w:noHBand="0" w:noVBand="1"/>
      </w:tblPr>
      <w:tblGrid>
        <w:gridCol w:w="4050"/>
        <w:gridCol w:w="2610"/>
        <w:gridCol w:w="1261"/>
        <w:gridCol w:w="2520"/>
        <w:gridCol w:w="1080"/>
      </w:tblGrid>
      <w:tr w:rsidR="00952FFE" w:rsidRPr="00552AF2" w14:paraId="4D302016" w14:textId="77777777" w:rsidTr="007905CB">
        <w:trPr>
          <w:trHeight w:val="312"/>
        </w:trPr>
        <w:tc>
          <w:tcPr>
            <w:tcW w:w="405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6BA2678F" w14:textId="77777777" w:rsidR="00952FFE" w:rsidRPr="00552AF2" w:rsidRDefault="00952FFE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506BDB66" w14:textId="68372216" w:rsidR="00952FFE" w:rsidRPr="00552AF2" w:rsidRDefault="00952FFE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U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n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adjusted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24AD"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odel</w:t>
            </w:r>
            <w:r w:rsidRPr="00E30E88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60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54CCBB09" w14:textId="3BE314EE" w:rsidR="00952FFE" w:rsidRPr="00552AF2" w:rsidRDefault="00952FFE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</w:pP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Adjusted </w:t>
            </w:r>
            <w:proofErr w:type="spellStart"/>
            <w:r w:rsidR="007224AD"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odel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7224AD" w:rsidRPr="00552AF2" w14:paraId="44079B7E" w14:textId="77777777" w:rsidTr="00E65A48">
        <w:trPr>
          <w:trHeight w:val="312"/>
        </w:trPr>
        <w:tc>
          <w:tcPr>
            <w:tcW w:w="405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A4BC156" w14:textId="4EF6E77B" w:rsidR="007224AD" w:rsidRPr="00552AF2" w:rsidRDefault="007224AD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Quality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Variable</w:t>
            </w:r>
          </w:p>
        </w:tc>
        <w:tc>
          <w:tcPr>
            <w:tcW w:w="26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6CB50AD" w14:textId="5FA49D6B" w:rsidR="007224AD" w:rsidRPr="00552AF2" w:rsidRDefault="007224AD" w:rsidP="007224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HR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26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0E2B498" w14:textId="0B3D8505" w:rsidR="007224AD" w:rsidRPr="00552AF2" w:rsidRDefault="007224AD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224AD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P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="00302385">
              <w:rPr>
                <w:rFonts w:asciiTheme="minorBidi" w:hAnsiTheme="minorBidi"/>
                <w:b/>
                <w:bCs/>
                <w:sz w:val="20"/>
                <w:szCs w:val="20"/>
              </w:rPr>
              <w:t>v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alue</w:t>
            </w:r>
          </w:p>
        </w:tc>
        <w:tc>
          <w:tcPr>
            <w:tcW w:w="25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E98D8CF" w14:textId="05B004E0" w:rsidR="007224AD" w:rsidRPr="00552AF2" w:rsidRDefault="007224AD" w:rsidP="007224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HR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8C260C8" w14:textId="69BEA991" w:rsidR="007224AD" w:rsidRPr="00552AF2" w:rsidRDefault="007224AD" w:rsidP="007905C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224AD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P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="00302385">
              <w:rPr>
                <w:rFonts w:asciiTheme="minorBidi" w:hAnsiTheme="minorBidi"/>
                <w:b/>
                <w:bCs/>
                <w:sz w:val="20"/>
                <w:szCs w:val="20"/>
              </w:rPr>
              <w:t>v</w:t>
            </w:r>
            <w:r w:rsidRPr="00552AF2">
              <w:rPr>
                <w:rFonts w:asciiTheme="minorBidi" w:hAnsiTheme="minorBidi"/>
                <w:b/>
                <w:bCs/>
                <w:sz w:val="20"/>
                <w:szCs w:val="20"/>
              </w:rPr>
              <w:t>alue</w:t>
            </w:r>
          </w:p>
        </w:tc>
      </w:tr>
      <w:tr w:rsidR="007224AD" w:rsidRPr="00552AF2" w14:paraId="7E09203F" w14:textId="77777777" w:rsidTr="005079F6">
        <w:trPr>
          <w:trHeight w:val="292"/>
        </w:trPr>
        <w:tc>
          <w:tcPr>
            <w:tcW w:w="40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E50B82" w14:textId="77777777" w:rsidR="007224AD" w:rsidRPr="00552AF2" w:rsidRDefault="007224AD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Pakistan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EFC1FB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F19AD7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4BD7A2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9C522B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24AD" w:rsidRPr="00552AF2" w14:paraId="1648839A" w14:textId="77777777" w:rsidTr="0075348C">
        <w:trPr>
          <w:trHeight w:val="2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F270EFE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Contraceptive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availability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3DDD" w14:textId="1B649594" w:rsidR="007224AD" w:rsidRPr="00552AF2" w:rsidRDefault="007224AD" w:rsidP="007905CB">
            <w:pPr>
              <w:ind w:left="70" w:right="-11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95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k</w:t>
            </w:r>
            <w:r w:rsidRPr="007224AD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42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2.14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2D43" w14:textId="7CCB0ADB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14A" w14:textId="146C6753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81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36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1.</w:t>
            </w:r>
            <w:r>
              <w:rPr>
                <w:rFonts w:asciiTheme="minorBidi" w:hAnsiTheme="minorBidi"/>
                <w:sz w:val="20"/>
                <w:szCs w:val="20"/>
              </w:rPr>
              <w:t>84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A213" w14:textId="1DC4A70F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61</w:t>
            </w:r>
          </w:p>
        </w:tc>
      </w:tr>
      <w:tr w:rsidR="007224AD" w:rsidRPr="00552AF2" w14:paraId="449A577D" w14:textId="77777777" w:rsidTr="00005E54">
        <w:trPr>
          <w:trHeight w:val="2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7678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Structural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privacy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32A6" w14:textId="1C499E01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0.37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l</w:t>
            </w:r>
            <w:r w:rsidRPr="007224AD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0.24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0.57)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E4AC" w14:textId="4F3F3EA4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E429" w14:textId="4852EED9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38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p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25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58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C9BF" w14:textId="30A1C96F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&lt;.001</w:t>
            </w:r>
          </w:p>
        </w:tc>
      </w:tr>
      <w:tr w:rsidR="007224AD" w:rsidRPr="00552AF2" w14:paraId="28DBA1D5" w14:textId="77777777" w:rsidTr="00C11FDB">
        <w:trPr>
          <w:trHeight w:val="2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01B2B9A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/>
                <w:bCs/>
                <w:sz w:val="20"/>
                <w:szCs w:val="20"/>
              </w:rPr>
              <w:t>Confidentiality</w:t>
            </w:r>
            <w:r>
              <w:rPr>
                <w:rFonts w:asciiTheme="minorBidi" w:hAnsiTheme="minorBidi"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09E6" w14:textId="49B96F8E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0.45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m</w:t>
            </w:r>
            <w:r w:rsidRPr="007224AD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27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0.73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C047" w14:textId="69F97852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82BCD" w14:textId="2289C48C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0.47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q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(0.29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0.76)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08B3" w14:textId="1A45F1C6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.002</w:t>
            </w:r>
          </w:p>
        </w:tc>
      </w:tr>
      <w:tr w:rsidR="007224AD" w:rsidRPr="00552AF2" w14:paraId="0657B662" w14:textId="77777777" w:rsidTr="007D349F">
        <w:trPr>
          <w:trHeight w:val="23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C23F3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Counseling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0C705" w14:textId="0858F447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48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n</w:t>
            </w:r>
            <w:r w:rsidRPr="007224AD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31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74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FB4DA" w14:textId="579FF5DF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B3689" w14:textId="2EA8610D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0.49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(0.32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0.74)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81198" w14:textId="0C9FFEED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.001</w:t>
            </w:r>
          </w:p>
        </w:tc>
      </w:tr>
      <w:tr w:rsidR="007224AD" w:rsidRPr="00552AF2" w14:paraId="2B119EA7" w14:textId="77777777" w:rsidTr="00F66FAF">
        <w:trPr>
          <w:trHeight w:val="292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FC8FFC" w14:textId="77777777" w:rsidR="007224AD" w:rsidRPr="00552AF2" w:rsidRDefault="007224AD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Uganda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09F9E6" w14:textId="19D7AB4D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C49937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4C771B" w14:textId="01D36016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82194E" w14:textId="77777777" w:rsidR="007224AD" w:rsidRPr="00552AF2" w:rsidRDefault="007224AD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24AD" w:rsidRPr="00552AF2" w14:paraId="01888F25" w14:textId="77777777" w:rsidTr="00905B45">
        <w:trPr>
          <w:trHeight w:val="23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E0033EC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Contraceptive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availability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14E10" w14:textId="71037D59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0.79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0.42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1.47)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79DA" w14:textId="2DECA277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.4</w:t>
            </w: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28F" w14:textId="6A216EB1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0.67 (0.35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1.29)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64A4" w14:textId="1FA076BC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.23</w:t>
            </w:r>
          </w:p>
        </w:tc>
      </w:tr>
      <w:tr w:rsidR="007224AD" w:rsidRPr="00552AF2" w14:paraId="22598823" w14:textId="77777777" w:rsidTr="00FA570E">
        <w:trPr>
          <w:trHeight w:val="23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2E51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Structural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privacy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6E2B" w14:textId="69F7DC7E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1.13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58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2.21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6F8A" w14:textId="64D2B193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331A" w14:textId="01F35283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89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42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88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1356" w14:textId="6EB11399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76</w:t>
            </w:r>
          </w:p>
        </w:tc>
      </w:tr>
      <w:tr w:rsidR="007224AD" w:rsidRPr="00552AF2" w14:paraId="48677B73" w14:textId="77777777" w:rsidTr="007661DB">
        <w:trPr>
          <w:trHeight w:val="23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5B8A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/>
                <w:bCs/>
                <w:sz w:val="20"/>
                <w:szCs w:val="20"/>
              </w:rPr>
              <w:t>Confidentiality</w:t>
            </w:r>
            <w:r>
              <w:rPr>
                <w:rFonts w:asciiTheme="minorBidi" w:hAnsiTheme="minorBidi"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FC60" w14:textId="1A49D4A4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0.93 (</w:t>
            </w:r>
            <w:r w:rsidRPr="00552AF2">
              <w:rPr>
                <w:rFonts w:asciiTheme="minorBidi" w:hAnsiTheme="minorBidi"/>
                <w:sz w:val="20"/>
                <w:szCs w:val="20"/>
              </w:rPr>
              <w:t>0.</w:t>
            </w:r>
            <w:r>
              <w:rPr>
                <w:rFonts w:asciiTheme="minorBidi" w:hAnsiTheme="minorBidi"/>
                <w:sz w:val="20"/>
                <w:szCs w:val="20"/>
              </w:rPr>
              <w:t>44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1.</w:t>
            </w:r>
            <w:r>
              <w:rPr>
                <w:rFonts w:asciiTheme="minorBidi" w:hAnsiTheme="minorBidi"/>
                <w:sz w:val="20"/>
                <w:szCs w:val="20"/>
              </w:rPr>
              <w:t>95</w:t>
            </w:r>
            <w:r w:rsidRPr="00552AF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EA36" w14:textId="1D6F4BF5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E46E" w14:textId="51C1A835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0.73 (0.34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1.59)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FD98" w14:textId="0D5EC78F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.43</w:t>
            </w:r>
          </w:p>
        </w:tc>
      </w:tr>
      <w:tr w:rsidR="007224AD" w:rsidRPr="00552AF2" w14:paraId="022BB5A1" w14:textId="77777777" w:rsidTr="002505FD">
        <w:trPr>
          <w:trHeight w:val="23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B7CE" w14:textId="77777777" w:rsidR="007224AD" w:rsidRPr="00B50E55" w:rsidRDefault="007224AD" w:rsidP="007905CB">
            <w:pPr>
              <w:ind w:left="158"/>
              <w:rPr>
                <w:rFonts w:asciiTheme="minorBidi" w:hAnsiTheme="minorBid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Counseling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D7A1" w14:textId="081A654F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1.19 (0.62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2.26)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F02B" w14:textId="77AD4F8D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260F" w14:textId="4ED1DBD8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1.29 (0.66</w:t>
            </w:r>
            <w:r w:rsidR="00333B8D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/>
                <w:sz w:val="20"/>
                <w:szCs w:val="20"/>
              </w:rPr>
              <w:t>2.51)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F8AD" w14:textId="63EBBE9D" w:rsidR="007224AD" w:rsidRPr="00552AF2" w:rsidRDefault="007224AD" w:rsidP="007905CB">
            <w:pPr>
              <w:ind w:left="158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.46</w:t>
            </w:r>
          </w:p>
        </w:tc>
      </w:tr>
    </w:tbl>
    <w:p w14:paraId="3FD81318" w14:textId="23226196" w:rsidR="007224AD" w:rsidRDefault="007224AD" w:rsidP="007224AD">
      <w:pPr>
        <w:rPr>
          <w:rFonts w:asciiTheme="minorBidi" w:hAnsiTheme="minorBidi"/>
          <w:sz w:val="20"/>
          <w:szCs w:val="20"/>
          <w:vertAlign w:val="superscript"/>
        </w:rPr>
      </w:pPr>
      <w:r>
        <w:rPr>
          <w:rFonts w:asciiTheme="minorBidi" w:hAnsiTheme="minorBidi"/>
          <w:sz w:val="20"/>
          <w:szCs w:val="20"/>
        </w:rPr>
        <w:t>Abbreviations</w:t>
      </w:r>
      <w:r w:rsidRPr="00552AF2"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 xml:space="preserve"> CI, confidence interval; </w:t>
      </w:r>
      <w:r w:rsidRPr="00552AF2">
        <w:rPr>
          <w:rFonts w:asciiTheme="minorBidi" w:hAnsiTheme="minorBidi"/>
          <w:sz w:val="20"/>
          <w:szCs w:val="20"/>
        </w:rPr>
        <w:t>HR</w:t>
      </w:r>
      <w:r>
        <w:rPr>
          <w:rFonts w:asciiTheme="minorBidi" w:hAnsiTheme="minorBidi"/>
          <w:sz w:val="20"/>
          <w:szCs w:val="20"/>
        </w:rPr>
        <w:t>,</w:t>
      </w:r>
      <w:r w:rsidRPr="00552AF2">
        <w:rPr>
          <w:rFonts w:asciiTheme="minorBidi" w:hAnsiTheme="minorBidi"/>
          <w:sz w:val="20"/>
          <w:szCs w:val="20"/>
        </w:rPr>
        <w:t xml:space="preserve"> hazard ratio</w:t>
      </w:r>
      <w:r w:rsidR="00550960">
        <w:rPr>
          <w:rFonts w:asciiTheme="minorBidi" w:hAnsiTheme="minorBidi"/>
          <w:sz w:val="20"/>
          <w:szCs w:val="20"/>
        </w:rPr>
        <w:t>; SE, standard error</w:t>
      </w:r>
      <w:r>
        <w:rPr>
          <w:rFonts w:asciiTheme="minorBidi" w:hAnsiTheme="minorBidi"/>
          <w:sz w:val="20"/>
          <w:szCs w:val="20"/>
        </w:rPr>
        <w:t>.</w:t>
      </w:r>
    </w:p>
    <w:p w14:paraId="5F615AC1" w14:textId="5149BA36" w:rsidR="007224AD" w:rsidRPr="00E30E88" w:rsidRDefault="007224AD" w:rsidP="007224AD">
      <w:pPr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  <w:vertAlign w:val="superscript"/>
        </w:rPr>
        <w:t>a</w:t>
      </w:r>
      <w:proofErr w:type="spellEnd"/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>
        <w:rPr>
          <w:rFonts w:asciiTheme="minorBidi" w:hAnsiTheme="minorBidi"/>
          <w:sz w:val="20"/>
          <w:szCs w:val="20"/>
        </w:rPr>
        <w:t>Unadjusted univariate analysis of individual quality variables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34E3928E" w14:textId="14798196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b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>Adjusted for participants’ age and short-</w:t>
      </w:r>
      <w:r w:rsidR="00790A5D">
        <w:rPr>
          <w:rFonts w:asciiTheme="minorBidi" w:hAnsiTheme="minorBidi"/>
          <w:sz w:val="20"/>
          <w:szCs w:val="20"/>
        </w:rPr>
        <w:t>acting</w:t>
      </w:r>
      <w:r w:rsidR="00790A5D" w:rsidRPr="00552AF2">
        <w:rPr>
          <w:rFonts w:asciiTheme="minorBidi" w:hAnsiTheme="minorBidi"/>
          <w:sz w:val="20"/>
          <w:szCs w:val="20"/>
        </w:rPr>
        <w:t xml:space="preserve"> </w:t>
      </w:r>
      <w:r w:rsidR="00550960">
        <w:rPr>
          <w:rFonts w:asciiTheme="minorBidi" w:hAnsiTheme="minorBidi"/>
          <w:sz w:val="20"/>
          <w:szCs w:val="20"/>
        </w:rPr>
        <w:t>versus</w:t>
      </w:r>
      <w:r>
        <w:rPr>
          <w:rFonts w:asciiTheme="minorBidi" w:hAnsiTheme="minorBidi"/>
          <w:sz w:val="20"/>
          <w:szCs w:val="20"/>
        </w:rPr>
        <w:t xml:space="preserve"> long-</w:t>
      </w:r>
      <w:r w:rsidR="00790A5D">
        <w:rPr>
          <w:rFonts w:asciiTheme="minorBidi" w:hAnsiTheme="minorBidi"/>
          <w:sz w:val="20"/>
          <w:szCs w:val="20"/>
        </w:rPr>
        <w:t>acting</w:t>
      </w:r>
      <w:r w:rsidR="00790A5D" w:rsidRPr="00552AF2">
        <w:rPr>
          <w:rFonts w:asciiTheme="minorBidi" w:hAnsiTheme="minorBidi"/>
          <w:sz w:val="20"/>
          <w:szCs w:val="20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>method</w:t>
      </w:r>
      <w:r>
        <w:rPr>
          <w:rFonts w:asciiTheme="minorBidi" w:hAnsiTheme="minorBidi"/>
          <w:sz w:val="20"/>
          <w:szCs w:val="20"/>
        </w:rPr>
        <w:t xml:space="preserve"> use at baseline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197A0F68" w14:textId="146D22CC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c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897BD2">
        <w:rPr>
          <w:rFonts w:asciiTheme="minorBidi" w:hAnsiTheme="minorBidi"/>
          <w:sz w:val="20"/>
          <w:szCs w:val="20"/>
        </w:rPr>
        <w:t>All contraceptive methods are available on site or through referral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7AADB6A2" w14:textId="39DCB4A4" w:rsidR="007224AD" w:rsidRPr="00897BD2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d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897BD2">
        <w:rPr>
          <w:rFonts w:asciiTheme="minorBidi" w:hAnsiTheme="minorBidi"/>
          <w:sz w:val="20"/>
          <w:szCs w:val="20"/>
        </w:rPr>
        <w:t xml:space="preserve">Composite variable including having adequate space and privacy for clients receiving the pill, injectable, or </w:t>
      </w:r>
      <w:r w:rsidR="00550960">
        <w:rPr>
          <w:rFonts w:asciiTheme="minorBidi" w:hAnsiTheme="minorBidi"/>
          <w:sz w:val="20"/>
          <w:szCs w:val="20"/>
        </w:rPr>
        <w:t>intrauterine device (</w:t>
      </w:r>
      <w:r w:rsidRPr="00897BD2">
        <w:rPr>
          <w:rFonts w:asciiTheme="minorBidi" w:hAnsiTheme="minorBidi"/>
          <w:sz w:val="20"/>
          <w:szCs w:val="20"/>
        </w:rPr>
        <w:t>IUD</w:t>
      </w:r>
      <w:r w:rsidR="00550960">
        <w:rPr>
          <w:rFonts w:asciiTheme="minorBidi" w:hAnsiTheme="minorBidi"/>
          <w:sz w:val="20"/>
          <w:szCs w:val="20"/>
        </w:rPr>
        <w:t>).</w:t>
      </w:r>
    </w:p>
    <w:p w14:paraId="75446B58" w14:textId="630ACAD2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e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897BD2">
        <w:rPr>
          <w:rFonts w:asciiTheme="minorBidi" w:hAnsiTheme="minorBidi"/>
          <w:sz w:val="20"/>
          <w:szCs w:val="20"/>
        </w:rPr>
        <w:t>Composite variable including refraining from discussing client cases in public areas</w:t>
      </w:r>
      <w:r w:rsidR="00550960">
        <w:rPr>
          <w:rFonts w:asciiTheme="minorBidi" w:hAnsiTheme="minorBidi"/>
          <w:sz w:val="20"/>
          <w:szCs w:val="20"/>
        </w:rPr>
        <w:t>;</w:t>
      </w:r>
      <w:r w:rsidRPr="00897BD2">
        <w:rPr>
          <w:rFonts w:asciiTheme="minorBidi" w:hAnsiTheme="minorBidi"/>
          <w:sz w:val="20"/>
          <w:szCs w:val="20"/>
        </w:rPr>
        <w:t xml:space="preserve"> having privacy for registration and payments</w:t>
      </w:r>
      <w:r w:rsidR="00550960">
        <w:rPr>
          <w:rFonts w:asciiTheme="minorBidi" w:hAnsiTheme="minorBidi"/>
          <w:sz w:val="20"/>
          <w:szCs w:val="20"/>
        </w:rPr>
        <w:t xml:space="preserve"> and</w:t>
      </w:r>
      <w:r w:rsidRPr="00897BD2">
        <w:rPr>
          <w:rFonts w:asciiTheme="minorBidi" w:hAnsiTheme="minorBidi"/>
          <w:sz w:val="20"/>
          <w:szCs w:val="20"/>
        </w:rPr>
        <w:t xml:space="preserve"> during consultations and procedures</w:t>
      </w:r>
      <w:r w:rsidR="00550960">
        <w:rPr>
          <w:rFonts w:asciiTheme="minorBidi" w:hAnsiTheme="minorBidi"/>
          <w:sz w:val="20"/>
          <w:szCs w:val="20"/>
        </w:rPr>
        <w:t>;</w:t>
      </w:r>
      <w:r w:rsidRPr="00897BD2">
        <w:rPr>
          <w:rFonts w:asciiTheme="minorBidi" w:hAnsiTheme="minorBidi"/>
          <w:sz w:val="20"/>
          <w:szCs w:val="20"/>
        </w:rPr>
        <w:t xml:space="preserve"> and keeping clients covered during examinations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5CD710F8" w14:textId="3013D2ED" w:rsidR="007224AD" w:rsidRPr="00077ADF" w:rsidRDefault="007224AD" w:rsidP="007224AD">
      <w:pPr>
        <w:rPr>
          <w:rFonts w:asciiTheme="minorBidi" w:hAnsiTheme="minorBidi"/>
          <w:sz w:val="20"/>
          <w:szCs w:val="20"/>
          <w:vertAlign w:val="superscript"/>
        </w:rPr>
      </w:pPr>
      <w:r>
        <w:rPr>
          <w:rFonts w:asciiTheme="minorBidi" w:hAnsiTheme="minorBidi"/>
          <w:sz w:val="20"/>
          <w:szCs w:val="20"/>
          <w:vertAlign w:val="superscript"/>
        </w:rPr>
        <w:t>f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077ADF">
        <w:rPr>
          <w:rFonts w:asciiTheme="minorBidi" w:hAnsiTheme="minorBidi"/>
          <w:sz w:val="20"/>
          <w:szCs w:val="20"/>
        </w:rPr>
        <w:t>Composite variable including reminding women of key points about a method and its use, advice on other short</w:t>
      </w:r>
      <w:r w:rsidR="00550960">
        <w:rPr>
          <w:rFonts w:asciiTheme="minorBidi" w:hAnsiTheme="minorBidi"/>
          <w:sz w:val="20"/>
          <w:szCs w:val="20"/>
        </w:rPr>
        <w:t>-</w:t>
      </w:r>
      <w:r w:rsidRPr="00077ADF">
        <w:rPr>
          <w:rFonts w:asciiTheme="minorBidi" w:hAnsiTheme="minorBidi"/>
          <w:sz w:val="20"/>
          <w:szCs w:val="20"/>
        </w:rPr>
        <w:t xml:space="preserve"> or long</w:t>
      </w:r>
      <w:r w:rsidR="00550960">
        <w:rPr>
          <w:rFonts w:asciiTheme="minorBidi" w:hAnsiTheme="minorBidi"/>
          <w:sz w:val="20"/>
          <w:szCs w:val="20"/>
        </w:rPr>
        <w:t>-</w:t>
      </w:r>
      <w:r w:rsidRPr="00077ADF">
        <w:rPr>
          <w:rFonts w:asciiTheme="minorBidi" w:hAnsiTheme="minorBidi"/>
          <w:sz w:val="20"/>
          <w:szCs w:val="20"/>
        </w:rPr>
        <w:t>acting methods, and when it is appropriate to remove, if necessary, for the condom, pill, injectable, or IUD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591D371A" w14:textId="038F9283" w:rsidR="00952FFE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g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6F5419">
        <w:rPr>
          <w:rFonts w:asciiTheme="minorBidi" w:hAnsiTheme="minorBidi"/>
          <w:sz w:val="20"/>
          <w:szCs w:val="20"/>
        </w:rPr>
        <w:t>Clients have access to a range of modern contraceptive methods or information on where to obtain such methods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15DB5C0D" w14:textId="35F458D9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h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6F5419">
        <w:rPr>
          <w:rFonts w:asciiTheme="minorBidi" w:hAnsiTheme="minorBidi"/>
          <w:sz w:val="20"/>
          <w:szCs w:val="20"/>
        </w:rPr>
        <w:t>All services must be performed in a setting that offers the client privacy (i.e.</w:t>
      </w:r>
      <w:r w:rsidR="00550960">
        <w:rPr>
          <w:rFonts w:asciiTheme="minorBidi" w:hAnsiTheme="minorBidi"/>
          <w:sz w:val="20"/>
          <w:szCs w:val="20"/>
        </w:rPr>
        <w:t>,</w:t>
      </w:r>
      <w:r w:rsidRPr="006F5419">
        <w:rPr>
          <w:rFonts w:asciiTheme="minorBidi" w:hAnsiTheme="minorBidi"/>
          <w:sz w:val="20"/>
          <w:szCs w:val="20"/>
        </w:rPr>
        <w:t xml:space="preserve"> the setting is screened from view of others)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1B672D53" w14:textId="637D5E40" w:rsidR="007224AD" w:rsidRDefault="00BD54FA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 xml:space="preserve">I </w:t>
      </w:r>
      <w:r w:rsidR="007224AD" w:rsidRPr="006F5419">
        <w:rPr>
          <w:rFonts w:asciiTheme="minorBidi" w:hAnsiTheme="minorBidi"/>
          <w:sz w:val="20"/>
          <w:szCs w:val="20"/>
        </w:rPr>
        <w:t>Precautions must be taken to ensure that client records are stored securely and confidentially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60429162" w14:textId="5B95AEB1" w:rsidR="007224AD" w:rsidRPr="006F5419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j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6F5419">
        <w:rPr>
          <w:rFonts w:asciiTheme="minorBidi" w:hAnsiTheme="minorBidi"/>
          <w:sz w:val="20"/>
          <w:szCs w:val="20"/>
        </w:rPr>
        <w:t>Clients must receive, either from a designated counselor or the provider, appropriate counseling that includes comprehensible information about the benefits, risks, and side effects of any chosen modern method prior to receiving that method</w:t>
      </w:r>
      <w:r w:rsidR="00550960">
        <w:rPr>
          <w:rFonts w:asciiTheme="minorBidi" w:hAnsiTheme="minorBidi"/>
          <w:sz w:val="20"/>
          <w:szCs w:val="20"/>
        </w:rPr>
        <w:t>.</w:t>
      </w:r>
    </w:p>
    <w:p w14:paraId="74D03A55" w14:textId="185B964B" w:rsidR="007224AD" w:rsidRPr="00552AF2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k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0.9</w:t>
      </w:r>
      <w:r>
        <w:rPr>
          <w:rFonts w:asciiTheme="minorBidi" w:hAnsiTheme="minorBidi"/>
          <w:sz w:val="20"/>
          <w:szCs w:val="20"/>
        </w:rPr>
        <w:t>8</w:t>
      </w:r>
      <w:r w:rsidRPr="00552AF2">
        <w:rPr>
          <w:rFonts w:asciiTheme="minorBidi" w:hAnsiTheme="minorBidi"/>
          <w:sz w:val="20"/>
          <w:szCs w:val="20"/>
        </w:rPr>
        <w:t xml:space="preserve">, SE=0.35,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735AD7FF" w14:textId="0CA1747F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l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47</w:t>
      </w:r>
      <w:r w:rsidRPr="00552AF2">
        <w:rPr>
          <w:rFonts w:asciiTheme="minorBidi" w:hAnsiTheme="minorBidi"/>
          <w:sz w:val="20"/>
          <w:szCs w:val="20"/>
        </w:rPr>
        <w:t>, SE=0.2</w:t>
      </w:r>
      <w:r>
        <w:rPr>
          <w:rFonts w:asciiTheme="minorBidi" w:hAnsiTheme="minorBidi"/>
          <w:sz w:val="20"/>
          <w:szCs w:val="20"/>
        </w:rPr>
        <w:t>3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7F1D3B0F" w14:textId="28FED6EC" w:rsidR="007224AD" w:rsidRPr="00552AF2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m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70</w:t>
      </w:r>
      <w:r w:rsidRPr="00552AF2">
        <w:rPr>
          <w:rFonts w:asciiTheme="minorBidi" w:hAnsiTheme="minorBidi"/>
          <w:sz w:val="20"/>
          <w:szCs w:val="20"/>
        </w:rPr>
        <w:t>, SE=0.</w:t>
      </w:r>
      <w:r>
        <w:rPr>
          <w:rFonts w:asciiTheme="minorBidi" w:hAnsiTheme="minorBidi"/>
          <w:sz w:val="20"/>
          <w:szCs w:val="20"/>
        </w:rPr>
        <w:t>28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1F6F9E2B" w14:textId="5387EAB5" w:rsidR="007224AD" w:rsidRPr="00552AF2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n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61</w:t>
      </w:r>
      <w:r w:rsidRPr="00552AF2">
        <w:rPr>
          <w:rFonts w:asciiTheme="minorBidi" w:hAnsiTheme="minorBidi"/>
          <w:sz w:val="20"/>
          <w:szCs w:val="20"/>
        </w:rPr>
        <w:t>, SE=0.</w:t>
      </w:r>
      <w:r>
        <w:rPr>
          <w:rFonts w:asciiTheme="minorBidi" w:hAnsiTheme="minorBidi"/>
          <w:sz w:val="20"/>
          <w:szCs w:val="20"/>
        </w:rPr>
        <w:t>28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1813AADF" w14:textId="20440CD4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o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89</w:t>
      </w:r>
      <w:r w:rsidRPr="00552AF2">
        <w:rPr>
          <w:rFonts w:asciiTheme="minorBidi" w:hAnsiTheme="minorBidi"/>
          <w:sz w:val="20"/>
          <w:szCs w:val="20"/>
        </w:rPr>
        <w:t>, SE=0.</w:t>
      </w:r>
      <w:r>
        <w:rPr>
          <w:rFonts w:asciiTheme="minorBidi" w:hAnsiTheme="minorBidi"/>
          <w:sz w:val="20"/>
          <w:szCs w:val="20"/>
        </w:rPr>
        <w:t>33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458ED8EB" w14:textId="6DACEA25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p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42</w:t>
      </w:r>
      <w:r w:rsidRPr="00552AF2">
        <w:rPr>
          <w:rFonts w:asciiTheme="minorBidi" w:hAnsiTheme="minorBidi"/>
          <w:sz w:val="20"/>
          <w:szCs w:val="20"/>
        </w:rPr>
        <w:t>, SE=0.2</w:t>
      </w:r>
      <w:r>
        <w:rPr>
          <w:rFonts w:asciiTheme="minorBidi" w:hAnsiTheme="minorBidi"/>
          <w:sz w:val="20"/>
          <w:szCs w:val="20"/>
        </w:rPr>
        <w:t>2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14249A26" w14:textId="1D9F7213" w:rsidR="007224AD" w:rsidRDefault="007224AD" w:rsidP="007224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q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66</w:t>
      </w:r>
      <w:r w:rsidRPr="00552AF2">
        <w:rPr>
          <w:rFonts w:asciiTheme="minorBidi" w:hAnsiTheme="minorBidi"/>
          <w:sz w:val="20"/>
          <w:szCs w:val="20"/>
        </w:rPr>
        <w:t>, SE=0.2</w:t>
      </w:r>
      <w:r>
        <w:rPr>
          <w:rFonts w:asciiTheme="minorBidi" w:hAnsiTheme="minorBidi"/>
          <w:sz w:val="20"/>
          <w:szCs w:val="20"/>
        </w:rPr>
        <w:t>7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1FC9A568" w14:textId="08E7F449" w:rsidR="007224AD" w:rsidRPr="00D327A3" w:rsidRDefault="007224AD" w:rsidP="007224AD">
      <w:r>
        <w:rPr>
          <w:rFonts w:asciiTheme="minorBidi" w:hAnsiTheme="minorBidi"/>
          <w:sz w:val="20"/>
          <w:szCs w:val="20"/>
          <w:vertAlign w:val="superscript"/>
        </w:rPr>
        <w:t>r</w:t>
      </w:r>
      <w:r w:rsidR="00BD54FA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Pr="00552AF2">
        <w:rPr>
          <w:rFonts w:asciiTheme="minorBidi" w:hAnsiTheme="minorBidi"/>
          <w:sz w:val="20"/>
          <w:szCs w:val="20"/>
        </w:rPr>
        <w:t xml:space="preserve">Theta (shared frailty term): </w:t>
      </w:r>
      <w:r w:rsidR="00E641D8" w:rsidRPr="00E6278F">
        <w:rPr>
          <w:rFonts w:asciiTheme="minorBidi" w:hAnsiTheme="minorBidi"/>
          <w:i/>
          <w:iCs/>
          <w:sz w:val="20"/>
          <w:szCs w:val="20"/>
        </w:rPr>
        <w:t>t</w:t>
      </w:r>
      <w:r w:rsidR="00E641D8" w:rsidRPr="00552AF2">
        <w:rPr>
          <w:rFonts w:asciiTheme="minorBidi" w:hAnsiTheme="minorBidi"/>
          <w:sz w:val="20"/>
          <w:szCs w:val="20"/>
        </w:rPr>
        <w:t>=</w:t>
      </w:r>
      <w:r w:rsidRPr="00552AF2">
        <w:rPr>
          <w:rFonts w:asciiTheme="minorBidi" w:hAnsiTheme="minorBidi"/>
          <w:sz w:val="20"/>
          <w:szCs w:val="20"/>
        </w:rPr>
        <w:t>0.</w:t>
      </w:r>
      <w:r>
        <w:rPr>
          <w:rFonts w:asciiTheme="minorBidi" w:hAnsiTheme="minorBidi"/>
          <w:sz w:val="20"/>
          <w:szCs w:val="20"/>
        </w:rPr>
        <w:t>56</w:t>
      </w:r>
      <w:r w:rsidRPr="00552AF2">
        <w:rPr>
          <w:rFonts w:asciiTheme="minorBidi" w:hAnsiTheme="minorBidi"/>
          <w:sz w:val="20"/>
          <w:szCs w:val="20"/>
        </w:rPr>
        <w:t>, SE=0.2</w:t>
      </w:r>
      <w:r>
        <w:rPr>
          <w:rFonts w:asciiTheme="minorBidi" w:hAnsiTheme="minorBidi"/>
          <w:sz w:val="20"/>
          <w:szCs w:val="20"/>
        </w:rPr>
        <w:t>6</w:t>
      </w:r>
      <w:r w:rsidRPr="00552AF2">
        <w:rPr>
          <w:rFonts w:asciiTheme="minorBidi" w:hAnsiTheme="minorBidi"/>
          <w:sz w:val="20"/>
          <w:szCs w:val="20"/>
        </w:rPr>
        <w:t xml:space="preserve">, </w:t>
      </w:r>
      <w:r w:rsidR="00E641D8" w:rsidRPr="00E641D8">
        <w:rPr>
          <w:rFonts w:asciiTheme="minorBidi" w:hAnsiTheme="minorBidi"/>
          <w:i/>
          <w:iCs/>
          <w:sz w:val="20"/>
          <w:szCs w:val="20"/>
        </w:rPr>
        <w:t>P</w:t>
      </w:r>
      <w:r w:rsidRPr="00552AF2">
        <w:rPr>
          <w:rFonts w:asciiTheme="minorBidi" w:hAnsiTheme="minorBidi"/>
          <w:sz w:val="20"/>
          <w:szCs w:val="20"/>
        </w:rPr>
        <w:t>&lt;.001</w:t>
      </w:r>
      <w:r w:rsidR="00E641D8">
        <w:rPr>
          <w:rFonts w:asciiTheme="minorBidi" w:hAnsiTheme="minorBidi"/>
          <w:sz w:val="20"/>
          <w:szCs w:val="20"/>
        </w:rPr>
        <w:t>.</w:t>
      </w:r>
    </w:p>
    <w:p w14:paraId="72AB0279" w14:textId="6FBD39BE" w:rsidR="00B52C3C" w:rsidRDefault="00C858CB"/>
    <w:sectPr w:rsidR="00B52C3C" w:rsidSect="00F16991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4D83" w14:textId="77777777" w:rsidR="00C858CB" w:rsidRDefault="00C858CB">
      <w:r>
        <w:separator/>
      </w:r>
    </w:p>
  </w:endnote>
  <w:endnote w:type="continuationSeparator" w:id="0">
    <w:p w14:paraId="56ABAFD2" w14:textId="77777777" w:rsidR="00C858CB" w:rsidRDefault="00C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7511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7CA65" w14:textId="77777777" w:rsidR="00893253" w:rsidRDefault="00952FFE" w:rsidP="002E16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7C5864" w14:textId="77777777" w:rsidR="00893253" w:rsidRDefault="00C858CB" w:rsidP="002E1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9106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F42A0" w14:textId="77777777" w:rsidR="00893253" w:rsidRDefault="00952FFE" w:rsidP="002E16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431BAF22" w14:textId="77777777" w:rsidR="00893253" w:rsidRDefault="00C858CB" w:rsidP="002E1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D269" w14:textId="77777777" w:rsidR="00C858CB" w:rsidRDefault="00C858CB">
      <w:r>
        <w:separator/>
      </w:r>
    </w:p>
  </w:footnote>
  <w:footnote w:type="continuationSeparator" w:id="0">
    <w:p w14:paraId="542CB418" w14:textId="77777777" w:rsidR="00C858CB" w:rsidRDefault="00C8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2AC0" w14:textId="21221760" w:rsidR="004124F2" w:rsidRDefault="004124F2" w:rsidP="004124F2">
    <w:pPr>
      <w:pStyle w:val="GHSPBodyText"/>
    </w:pPr>
    <w:r>
      <w:rPr>
        <w:color w:val="000000" w:themeColor="text1"/>
      </w:rPr>
      <w:t xml:space="preserve">Supplement to: Chang KT, Chakraborty NM, </w:t>
    </w:r>
    <w:proofErr w:type="spellStart"/>
    <w:r>
      <w:rPr>
        <w:color w:val="000000" w:themeColor="text1"/>
      </w:rPr>
      <w:t>Kalamar</w:t>
    </w:r>
    <w:proofErr w:type="spellEnd"/>
    <w:r>
      <w:rPr>
        <w:color w:val="000000" w:themeColor="text1"/>
      </w:rPr>
      <w:t xml:space="preserve"> AM, et al. </w:t>
    </w:r>
    <w:r w:rsidRPr="00292B4B">
      <w:t>Measuring service quality and assessing its relationship to contraceptive discontinuation: a prospective cohort study in Pakistan and Uganda</w:t>
    </w:r>
    <w:r>
      <w:t xml:space="preserve">. </w:t>
    </w:r>
    <w:r w:rsidRPr="00292B4B">
      <w:rPr>
        <w:i/>
        <w:iCs/>
        <w:color w:val="000000" w:themeColor="text1"/>
      </w:rPr>
      <w:t xml:space="preserve">Glob Health Sci </w:t>
    </w:r>
    <w:proofErr w:type="spellStart"/>
    <w:r w:rsidRPr="00292B4B">
      <w:rPr>
        <w:i/>
        <w:iCs/>
        <w:color w:val="000000" w:themeColor="text1"/>
      </w:rPr>
      <w:t>Pract</w:t>
    </w:r>
    <w:proofErr w:type="spellEnd"/>
    <w:r w:rsidRPr="00292B4B">
      <w:rPr>
        <w:color w:val="000000" w:themeColor="text1"/>
      </w:rPr>
      <w:t xml:space="preserve">. </w:t>
    </w:r>
    <w:r>
      <w:rPr>
        <w:color w:val="000000" w:themeColor="text1"/>
      </w:rPr>
      <w:t>2020</w:t>
    </w:r>
    <w:r w:rsidRPr="00292B4B">
      <w:rPr>
        <w:color w:val="000000" w:themeColor="text1"/>
      </w:rPr>
      <w:t>;</w:t>
    </w:r>
    <w:r>
      <w:rPr>
        <w:color w:val="000000" w:themeColor="text1"/>
      </w:rPr>
      <w:t>8</w:t>
    </w:r>
    <w:r w:rsidRPr="00292B4B">
      <w:rPr>
        <w:color w:val="000000" w:themeColor="text1"/>
      </w:rPr>
      <w:t>(</w:t>
    </w:r>
    <w:r>
      <w:rPr>
        <w:color w:val="000000" w:themeColor="text1"/>
      </w:rPr>
      <w:t>3</w:t>
    </w:r>
    <w:r w:rsidRPr="00292B4B">
      <w:rPr>
        <w:color w:val="000000" w:themeColor="text1"/>
      </w:rPr>
      <w:t xml:space="preserve">). </w:t>
    </w:r>
    <w:hyperlink r:id="rId1" w:history="1">
      <w:r w:rsidRPr="00A47550">
        <w:rPr>
          <w:rStyle w:val="Hyperlink"/>
          <w:rFonts w:eastAsia="Trebuchet MS"/>
        </w:rPr>
        <w:t>https://doi.org/10.9745/GHSP-D-20-00105</w:t>
      </w:r>
    </w:hyperlink>
    <w:r w:rsidRPr="00292B4B">
      <w:rPr>
        <w:rFonts w:eastAsia="Trebuchet MS"/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FE"/>
    <w:rsid w:val="0006636D"/>
    <w:rsid w:val="00074D9E"/>
    <w:rsid w:val="00196EDC"/>
    <w:rsid w:val="00236C97"/>
    <w:rsid w:val="002778F0"/>
    <w:rsid w:val="002C21FC"/>
    <w:rsid w:val="002E6A5B"/>
    <w:rsid w:val="00302385"/>
    <w:rsid w:val="003149E7"/>
    <w:rsid w:val="00333B8D"/>
    <w:rsid w:val="004124F2"/>
    <w:rsid w:val="00550960"/>
    <w:rsid w:val="00582393"/>
    <w:rsid w:val="005F1E59"/>
    <w:rsid w:val="007224AD"/>
    <w:rsid w:val="00790A5D"/>
    <w:rsid w:val="007B1A09"/>
    <w:rsid w:val="00952FFE"/>
    <w:rsid w:val="00A942FD"/>
    <w:rsid w:val="00B51A89"/>
    <w:rsid w:val="00BD54FA"/>
    <w:rsid w:val="00C47E4D"/>
    <w:rsid w:val="00C858CB"/>
    <w:rsid w:val="00DD3333"/>
    <w:rsid w:val="00E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9809"/>
  <w15:chartTrackingRefBased/>
  <w15:docId w15:val="{7C2D77CA-09FD-F841-9853-16D7A47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2FFE"/>
  </w:style>
  <w:style w:type="character" w:styleId="PageNumber">
    <w:name w:val="page number"/>
    <w:basedOn w:val="DefaultParagraphFont"/>
    <w:uiPriority w:val="99"/>
    <w:semiHidden/>
    <w:unhideWhenUsed/>
    <w:rsid w:val="00952FFE"/>
  </w:style>
  <w:style w:type="table" w:styleId="TableGrid">
    <w:name w:val="Table Grid"/>
    <w:basedOn w:val="TableNormal"/>
    <w:uiPriority w:val="59"/>
    <w:rsid w:val="00952F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F2"/>
    <w:rPr>
      <w:rFonts w:ascii="Times New Roman" w:eastAsia="Times New Roman" w:hAnsi="Times New Roman" w:cs="Times New Roman"/>
    </w:rPr>
  </w:style>
  <w:style w:type="paragraph" w:customStyle="1" w:styleId="GHSPBodyText">
    <w:name w:val="GHSP Body Text"/>
    <w:qFormat/>
    <w:rsid w:val="004124F2"/>
    <w:pPr>
      <w:spacing w:after="200" w:line="276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12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20-0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Chang</dc:creator>
  <cp:keywords/>
  <dc:description/>
  <cp:lastModifiedBy>Sonia Abraham</cp:lastModifiedBy>
  <cp:revision>2</cp:revision>
  <dcterms:created xsi:type="dcterms:W3CDTF">2020-08-03T20:34:00Z</dcterms:created>
  <dcterms:modified xsi:type="dcterms:W3CDTF">2020-08-03T20:34:00Z</dcterms:modified>
</cp:coreProperties>
</file>