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6A14" w14:textId="35FF8733" w:rsidR="001E60D5" w:rsidRPr="00CF3F25" w:rsidRDefault="003A2C9A" w:rsidP="001E60D5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S</w:t>
      </w:r>
      <w:r w:rsidR="00971839">
        <w:rPr>
          <w:rFonts w:asciiTheme="minorBidi" w:hAnsiTheme="minorBidi"/>
          <w:b/>
          <w:bCs/>
          <w:sz w:val="20"/>
          <w:szCs w:val="20"/>
        </w:rPr>
        <w:t xml:space="preserve">UPPLEMENT </w:t>
      </w:r>
      <w:r w:rsidR="001E60D5">
        <w:rPr>
          <w:rFonts w:asciiTheme="minorBidi" w:hAnsiTheme="minorBidi"/>
          <w:b/>
          <w:bCs/>
          <w:sz w:val="20"/>
          <w:szCs w:val="20"/>
        </w:rPr>
        <w:t>1</w:t>
      </w:r>
      <w:r w:rsidR="00971839">
        <w:rPr>
          <w:rFonts w:asciiTheme="minorBidi" w:hAnsiTheme="minorBidi"/>
          <w:b/>
          <w:bCs/>
          <w:sz w:val="20"/>
          <w:szCs w:val="20"/>
        </w:rPr>
        <w:t>.</w:t>
      </w:r>
      <w:r w:rsidR="001E60D5" w:rsidRPr="00CF3F25">
        <w:rPr>
          <w:rFonts w:asciiTheme="minorBidi" w:hAnsiTheme="minorBidi"/>
          <w:sz w:val="20"/>
          <w:szCs w:val="20"/>
        </w:rPr>
        <w:t xml:space="preserve"> Description of </w:t>
      </w:r>
      <w:r w:rsidR="00971839" w:rsidRPr="00CF3F25">
        <w:rPr>
          <w:rFonts w:asciiTheme="minorBidi" w:hAnsiTheme="minorBidi"/>
          <w:i/>
          <w:sz w:val="20"/>
          <w:szCs w:val="20"/>
        </w:rPr>
        <w:t>A Priori</w:t>
      </w:r>
      <w:r w:rsidR="00971839" w:rsidRPr="00971839">
        <w:rPr>
          <w:rFonts w:asciiTheme="minorBidi" w:hAnsiTheme="minorBidi"/>
          <w:iCs/>
          <w:sz w:val="20"/>
          <w:szCs w:val="20"/>
        </w:rPr>
        <w:t xml:space="preserve"> </w:t>
      </w:r>
      <w:r w:rsidR="00971839" w:rsidRPr="00971839">
        <w:rPr>
          <w:rFonts w:asciiTheme="minorBidi" w:hAnsiTheme="minorBidi"/>
          <w:sz w:val="20"/>
          <w:szCs w:val="20"/>
        </w:rPr>
        <w:t>Domains</w:t>
      </w:r>
    </w:p>
    <w:tbl>
      <w:tblPr>
        <w:tblStyle w:val="TableGrid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307"/>
        <w:gridCol w:w="5223"/>
      </w:tblGrid>
      <w:tr w:rsidR="001E60D5" w:rsidRPr="00552AF2" w14:paraId="471E841A" w14:textId="77777777" w:rsidTr="00CF3F25">
        <w:trPr>
          <w:tblHeader/>
        </w:trPr>
        <w:tc>
          <w:tcPr>
            <w:tcW w:w="1710" w:type="dxa"/>
            <w:vMerge w:val="restart"/>
            <w:tcBorders>
              <w:top w:val="double" w:sz="4" w:space="0" w:color="auto"/>
            </w:tcBorders>
          </w:tcPr>
          <w:p w14:paraId="4EFC52DD" w14:textId="77777777" w:rsidR="001E60D5" w:rsidRPr="00552AF2" w:rsidRDefault="001E60D5" w:rsidP="007905CB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F3F25">
              <w:rPr>
                <w:rFonts w:asciiTheme="minorBidi" w:hAnsiTheme="minorBidi"/>
                <w:b/>
                <w:iCs/>
                <w:sz w:val="20"/>
                <w:szCs w:val="20"/>
              </w:rPr>
              <w:t>A priori</w:t>
            </w:r>
            <w:r w:rsidRPr="00971839">
              <w:rPr>
                <w:rFonts w:asciiTheme="minorBidi" w:hAnsiTheme="minorBidi"/>
                <w:b/>
                <w:iCs/>
                <w:sz w:val="20"/>
                <w:szCs w:val="20"/>
              </w:rPr>
              <w:t xml:space="preserve"> </w:t>
            </w:r>
            <w:r w:rsidRPr="00552AF2">
              <w:rPr>
                <w:rFonts w:asciiTheme="minorBidi" w:hAnsiTheme="minorBidi"/>
                <w:b/>
                <w:sz w:val="20"/>
                <w:szCs w:val="20"/>
              </w:rPr>
              <w:t>domain</w:t>
            </w:r>
          </w:p>
        </w:tc>
        <w:tc>
          <w:tcPr>
            <w:tcW w:w="105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03BAB5" w14:textId="4F1D7089" w:rsidR="001E60D5" w:rsidRPr="00552AF2" w:rsidRDefault="001E60D5" w:rsidP="007905CB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552AF2">
              <w:rPr>
                <w:rFonts w:asciiTheme="minorBidi" w:hAnsiTheme="minorBidi"/>
                <w:b/>
                <w:sz w:val="20"/>
                <w:szCs w:val="20"/>
              </w:rPr>
              <w:t xml:space="preserve">Variables </w:t>
            </w:r>
            <w:r w:rsidR="00971839" w:rsidRPr="00552AF2">
              <w:rPr>
                <w:rFonts w:asciiTheme="minorBidi" w:hAnsiTheme="minorBidi"/>
                <w:b/>
                <w:sz w:val="20"/>
                <w:szCs w:val="20"/>
              </w:rPr>
              <w:t>I</w:t>
            </w:r>
            <w:r w:rsidRPr="00552AF2">
              <w:rPr>
                <w:rFonts w:asciiTheme="minorBidi" w:hAnsiTheme="minorBidi"/>
                <w:b/>
                <w:sz w:val="20"/>
                <w:szCs w:val="20"/>
              </w:rPr>
              <w:t>ncluded</w:t>
            </w:r>
          </w:p>
        </w:tc>
      </w:tr>
      <w:tr w:rsidR="001E60D5" w:rsidRPr="00552AF2" w14:paraId="629D2CC3" w14:textId="77777777" w:rsidTr="00CF3F25">
        <w:trPr>
          <w:tblHeader/>
        </w:trPr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78BEA4D2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bottom w:val="double" w:sz="4" w:space="0" w:color="auto"/>
            </w:tcBorders>
          </w:tcPr>
          <w:p w14:paraId="44C60227" w14:textId="77777777" w:rsidR="001E60D5" w:rsidRPr="00552AF2" w:rsidRDefault="001E60D5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/>
                <w:sz w:val="20"/>
                <w:szCs w:val="20"/>
              </w:rPr>
              <w:t>Pakistan</w:t>
            </w:r>
          </w:p>
        </w:tc>
        <w:tc>
          <w:tcPr>
            <w:tcW w:w="5223" w:type="dxa"/>
            <w:tcBorders>
              <w:top w:val="single" w:sz="4" w:space="0" w:color="auto"/>
              <w:bottom w:val="double" w:sz="4" w:space="0" w:color="auto"/>
            </w:tcBorders>
          </w:tcPr>
          <w:p w14:paraId="7B4D615D" w14:textId="77777777" w:rsidR="001E60D5" w:rsidRPr="00552AF2" w:rsidRDefault="001E60D5" w:rsidP="007905C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/>
                <w:sz w:val="20"/>
                <w:szCs w:val="20"/>
              </w:rPr>
              <w:t>Uganda</w:t>
            </w:r>
          </w:p>
        </w:tc>
      </w:tr>
      <w:tr w:rsidR="001E60D5" w:rsidRPr="00552AF2" w14:paraId="21FD4E25" w14:textId="77777777" w:rsidTr="007905CB">
        <w:tc>
          <w:tcPr>
            <w:tcW w:w="1710" w:type="dxa"/>
            <w:tcBorders>
              <w:top w:val="double" w:sz="4" w:space="0" w:color="auto"/>
            </w:tcBorders>
          </w:tcPr>
          <w:p w14:paraId="42CB17F8" w14:textId="56EA0326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 xml:space="preserve">Readiness for </w:t>
            </w:r>
            <w:r w:rsidR="00971839" w:rsidRPr="00552AF2">
              <w:rPr>
                <w:rFonts w:asciiTheme="minorBidi" w:hAnsiTheme="minorBidi"/>
                <w:bCs/>
                <w:sz w:val="20"/>
                <w:szCs w:val="20"/>
              </w:rPr>
              <w:t>c</w:t>
            </w: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>hoice</w:t>
            </w:r>
          </w:p>
        </w:tc>
        <w:tc>
          <w:tcPr>
            <w:tcW w:w="5307" w:type="dxa"/>
            <w:tcBorders>
              <w:top w:val="double" w:sz="4" w:space="0" w:color="auto"/>
              <w:bottom w:val="dotted" w:sz="4" w:space="0" w:color="auto"/>
            </w:tcBorders>
          </w:tcPr>
          <w:p w14:paraId="04636ADA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Service areas are adequately staffed</w:t>
            </w:r>
          </w:p>
        </w:tc>
        <w:tc>
          <w:tcPr>
            <w:tcW w:w="5223" w:type="dxa"/>
            <w:tcBorders>
              <w:top w:val="double" w:sz="4" w:space="0" w:color="auto"/>
              <w:bottom w:val="dotted" w:sz="4" w:space="0" w:color="auto"/>
            </w:tcBorders>
          </w:tcPr>
          <w:p w14:paraId="7506D3EE" w14:textId="76189783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Clients have access to a range of modern contraceptive methods or information on where to obtain such </w:t>
            </w:r>
            <w:proofErr w:type="spellStart"/>
            <w:r w:rsidRPr="00552AF2">
              <w:rPr>
                <w:rFonts w:asciiTheme="minorBidi" w:hAnsiTheme="minorBidi"/>
                <w:sz w:val="20"/>
                <w:szCs w:val="20"/>
              </w:rPr>
              <w:t>methods</w:t>
            </w:r>
            <w:r w:rsidR="00F42FC3">
              <w:rPr>
                <w:rFonts w:asciiTheme="minorBidi" w:hAnsiTheme="minorBidi"/>
                <w:sz w:val="20"/>
                <w:szCs w:val="20"/>
              </w:rPr>
              <w:t>.</w:t>
            </w:r>
            <w:r w:rsidRPr="003E2F23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1E60D5" w:rsidRPr="00552AF2" w14:paraId="0EB7D626" w14:textId="77777777" w:rsidTr="007905CB">
        <w:tc>
          <w:tcPr>
            <w:tcW w:w="1710" w:type="dxa"/>
          </w:tcPr>
          <w:p w14:paraId="0DAB9E83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0BECBC7E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All contraceptive methods are available on site or through </w:t>
            </w:r>
            <w:proofErr w:type="spellStart"/>
            <w:r w:rsidRPr="00552AF2">
              <w:rPr>
                <w:rFonts w:asciiTheme="minorBidi" w:hAnsiTheme="minorBidi"/>
                <w:sz w:val="20"/>
                <w:szCs w:val="20"/>
              </w:rPr>
              <w:t>referral</w:t>
            </w:r>
            <w:r w:rsidRPr="001F182D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1407EA65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0C4E5FD8" w14:textId="77777777" w:rsidTr="007905CB">
        <w:tc>
          <w:tcPr>
            <w:tcW w:w="1710" w:type="dxa"/>
          </w:tcPr>
          <w:p w14:paraId="3D9F1EC9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1C6CDA97" w14:textId="6AA7AB3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Written and pictorial information </w:t>
            </w:r>
            <w:r w:rsidR="00971839">
              <w:rPr>
                <w:rFonts w:asciiTheme="minorBidi" w:hAnsiTheme="minorBidi"/>
                <w:sz w:val="20"/>
                <w:szCs w:val="20"/>
              </w:rPr>
              <w:t>family planning</w:t>
            </w:r>
            <w:r w:rsidR="00971839" w:rsidRPr="00552AF2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leaflets available in client waiting </w:t>
            </w:r>
            <w:r w:rsidR="00971839">
              <w:rPr>
                <w:rFonts w:asciiTheme="minorBidi" w:hAnsiTheme="minorBidi"/>
                <w:sz w:val="20"/>
                <w:szCs w:val="20"/>
              </w:rPr>
              <w:t>and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counseling areas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170A96F8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1834C2EE" w14:textId="77777777" w:rsidTr="007905CB">
        <w:tc>
          <w:tcPr>
            <w:tcW w:w="1710" w:type="dxa"/>
          </w:tcPr>
          <w:p w14:paraId="35BF9A57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1290D047" w14:textId="3D616262" w:rsidR="001E60D5" w:rsidRPr="00552AF2" w:rsidRDefault="00971839" w:rsidP="007905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Family planning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E60D5" w:rsidRPr="00552AF2">
              <w:rPr>
                <w:rFonts w:asciiTheme="minorBidi" w:hAnsiTheme="minorBidi"/>
                <w:sz w:val="20"/>
                <w:szCs w:val="20"/>
              </w:rPr>
              <w:t>method wall charts are present in client waiting area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5892F102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3906B5B9" w14:textId="77777777" w:rsidTr="007905CB">
        <w:tc>
          <w:tcPr>
            <w:tcW w:w="1710" w:type="dxa"/>
          </w:tcPr>
          <w:p w14:paraId="3B26D8D6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5C59624E" w14:textId="3F3058A1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having processes in place for infection prevention, minimizing facility</w:t>
            </w:r>
            <w:r w:rsidR="002D38BE">
              <w:rPr>
                <w:rFonts w:asciiTheme="minorBidi" w:hAnsiTheme="minorBidi"/>
                <w:sz w:val="20"/>
                <w:szCs w:val="20"/>
              </w:rPr>
              <w:t>-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acquired infections, and </w:t>
            </w:r>
            <w:r w:rsidR="002D38BE">
              <w:rPr>
                <w:rFonts w:asciiTheme="minorBidi" w:hAnsiTheme="minorBidi"/>
                <w:sz w:val="20"/>
                <w:szCs w:val="20"/>
              </w:rPr>
              <w:t xml:space="preserve">having 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postexposure policies. 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6C1D3EFF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1D7F0F2C" w14:textId="77777777" w:rsidTr="007905CB">
        <w:tc>
          <w:tcPr>
            <w:tcW w:w="1710" w:type="dxa"/>
          </w:tcPr>
          <w:p w14:paraId="51764210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40D14112" w14:textId="0DDC846A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having running water, hand</w:t>
            </w:r>
            <w:r w:rsidR="002D38BE">
              <w:rPr>
                <w:rFonts w:asciiTheme="minorBidi" w:hAnsiTheme="minorBidi"/>
                <w:sz w:val="20"/>
                <w:szCs w:val="20"/>
              </w:rPr>
              <w:t>-</w:t>
            </w:r>
            <w:r w:rsidRPr="00552AF2">
              <w:rPr>
                <w:rFonts w:asciiTheme="minorBidi" w:hAnsiTheme="minorBidi"/>
                <w:sz w:val="20"/>
                <w:szCs w:val="20"/>
              </w:rPr>
              <w:t>washing facilities, toilets, sufficient lighting with backup for outages, functioning refrigerator, clean rooms, and absence of safety hazards.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36BA208A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1FE2A8EC" w14:textId="77777777" w:rsidTr="007905CB">
        <w:tc>
          <w:tcPr>
            <w:tcW w:w="1710" w:type="dxa"/>
          </w:tcPr>
          <w:p w14:paraId="2E75D7F0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79E9DA91" w14:textId="5D8E0D33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Composite variable including supplies stored off ground in cool, unexposed, clean area</w:t>
            </w:r>
            <w:r w:rsidR="002D38BE">
              <w:rPr>
                <w:rFonts w:asciiTheme="minorBidi" w:hAnsiTheme="minorBidi"/>
                <w:sz w:val="20"/>
                <w:szCs w:val="20"/>
              </w:rPr>
              <w:t>;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stock office able to accurately calculate average monthly supplies consumption</w:t>
            </w:r>
            <w:r w:rsidR="002D38BE">
              <w:rPr>
                <w:rFonts w:asciiTheme="minorBidi" w:hAnsiTheme="minorBidi"/>
                <w:sz w:val="20"/>
                <w:szCs w:val="20"/>
              </w:rPr>
              <w:t>;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and stock level within the target minimum and maximum levels.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1B72D85A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57D1B84F" w14:textId="77777777" w:rsidTr="007905CB">
        <w:tc>
          <w:tcPr>
            <w:tcW w:w="1710" w:type="dxa"/>
            <w:tcBorders>
              <w:top w:val="single" w:sz="4" w:space="0" w:color="auto"/>
            </w:tcBorders>
          </w:tcPr>
          <w:p w14:paraId="5577305D" w14:textId="6EEECC1A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 xml:space="preserve">Readiness </w:t>
            </w:r>
            <w:r w:rsidR="00971839" w:rsidRPr="00552AF2">
              <w:rPr>
                <w:rFonts w:asciiTheme="minorBidi" w:hAnsiTheme="minorBidi"/>
                <w:bCs/>
                <w:sz w:val="20"/>
                <w:szCs w:val="20"/>
              </w:rPr>
              <w:t>for management support</w:t>
            </w:r>
          </w:p>
        </w:tc>
        <w:tc>
          <w:tcPr>
            <w:tcW w:w="5307" w:type="dxa"/>
            <w:tcBorders>
              <w:top w:val="single" w:sz="4" w:space="0" w:color="auto"/>
              <w:bottom w:val="dotted" w:sz="4" w:space="0" w:color="auto"/>
            </w:tcBorders>
          </w:tcPr>
          <w:p w14:paraId="58873653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Composite variable including having a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visitor register available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logging site visits, action plans,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a master list of all clinical staff, a register of clinical trainings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and training plans for clinical staff. </w:t>
            </w:r>
          </w:p>
        </w:tc>
        <w:tc>
          <w:tcPr>
            <w:tcW w:w="5223" w:type="dxa"/>
            <w:tcBorders>
              <w:top w:val="single" w:sz="4" w:space="0" w:color="auto"/>
              <w:bottom w:val="dotted" w:sz="4" w:space="0" w:color="auto"/>
            </w:tcBorders>
          </w:tcPr>
          <w:p w14:paraId="563C067C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Procedures must be performed by licensed and registered health professionals who are authorized to do the procedures by national laws</w:t>
            </w:r>
          </w:p>
        </w:tc>
      </w:tr>
      <w:tr w:rsidR="001E60D5" w:rsidRPr="00552AF2" w14:paraId="7868A212" w14:textId="77777777" w:rsidTr="007905CB">
        <w:tc>
          <w:tcPr>
            <w:tcW w:w="1710" w:type="dxa"/>
          </w:tcPr>
          <w:p w14:paraId="239892CE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2F44B617" w14:textId="461CA959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Process for reviewing client feedback exists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7A0A4E3E" w14:textId="03CF1DE9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All PSI-affiliated providers have a current letter of agreement or employment contract with PSI that clearly stipulates the roles and responsibilities of both parties and consequences of noncompliance with services quality standards</w:t>
            </w:r>
            <w:r w:rsidR="00F42FC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538C3B49" w14:textId="77777777" w:rsidTr="007905CB">
        <w:tc>
          <w:tcPr>
            <w:tcW w:w="1710" w:type="dxa"/>
          </w:tcPr>
          <w:p w14:paraId="611E8EFD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6C6062E3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having an incident management policy, site manager is able to explain incident reporting and investigation process, and dissemination of investigat</w:t>
            </w:r>
            <w:r>
              <w:rPr>
                <w:rFonts w:asciiTheme="minorBidi" w:hAnsiTheme="minorBidi"/>
                <w:sz w:val="20"/>
                <w:szCs w:val="20"/>
              </w:rPr>
              <w:t>i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on outcomes. 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48BE9CA5" w14:textId="3F28C1B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Providers and program personnel must not be subject to any targets or quotas for the number of family planning acceptors or acceptors of a particular method</w:t>
            </w:r>
            <w:r w:rsidR="00F42FC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52CB5ED7" w14:textId="77777777" w:rsidTr="007905CB">
        <w:tc>
          <w:tcPr>
            <w:tcW w:w="1710" w:type="dxa"/>
          </w:tcPr>
          <w:p w14:paraId="45CB3516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1FC07778" w14:textId="3BBB2386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D031A5">
              <w:rPr>
                <w:rFonts w:asciiTheme="minorBidi" w:hAnsiTheme="minorBidi"/>
                <w:sz w:val="20"/>
                <w:szCs w:val="20"/>
              </w:rPr>
              <w:t xml:space="preserve">Staff have been offered </w:t>
            </w:r>
            <w:r w:rsidR="002D38BE">
              <w:rPr>
                <w:rFonts w:asciiTheme="minorBidi" w:hAnsiTheme="minorBidi"/>
                <w:sz w:val="20"/>
                <w:szCs w:val="20"/>
              </w:rPr>
              <w:t>h</w:t>
            </w:r>
            <w:r w:rsidRPr="00D031A5">
              <w:rPr>
                <w:rFonts w:asciiTheme="minorBidi" w:hAnsiTheme="minorBidi"/>
                <w:sz w:val="20"/>
                <w:szCs w:val="20"/>
              </w:rPr>
              <w:t>epatitis B vaccine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35B3EE57" w14:textId="199D5C3C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There must not be incentives to individuals in exchange for becoming acceptors or to program personnel for achieving </w:t>
            </w:r>
            <w:r w:rsidRPr="00552AF2">
              <w:rPr>
                <w:rFonts w:asciiTheme="minorBidi" w:hAnsiTheme="minorBidi"/>
                <w:sz w:val="20"/>
                <w:szCs w:val="20"/>
              </w:rPr>
              <w:lastRenderedPageBreak/>
              <w:t>targets or quotas for numbers of acceptors of a particular method</w:t>
            </w:r>
            <w:r w:rsidR="00F42FC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7DD1C555" w14:textId="77777777" w:rsidTr="007905CB">
        <w:tc>
          <w:tcPr>
            <w:tcW w:w="1710" w:type="dxa"/>
          </w:tcPr>
          <w:p w14:paraId="5F0232C6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7262B982" w14:textId="154EA825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having regular emergency trainings/drills</w:t>
            </w:r>
            <w:r w:rsidR="002D38BE">
              <w:rPr>
                <w:rFonts w:asciiTheme="minorBidi" w:hAnsiTheme="minorBidi"/>
                <w:sz w:val="20"/>
                <w:szCs w:val="20"/>
              </w:rPr>
              <w:t xml:space="preserve"> and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maintaining a register of emergency medicines and equipment. 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5073996D" w14:textId="4BA32D79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All</w:t>
            </w:r>
            <w:r w:rsidR="00F42FC3" w:rsidRPr="00552AF2">
              <w:rPr>
                <w:rFonts w:asciiTheme="minorBidi" w:hAnsiTheme="minorBidi"/>
                <w:sz w:val="20"/>
                <w:szCs w:val="20"/>
              </w:rPr>
              <w:t xml:space="preserve"> incentive s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chemes for providers and recruiters must be documented and submitted for approval to </w:t>
            </w:r>
            <w:commentRangeStart w:id="0"/>
            <w:commentRangeStart w:id="1"/>
            <w:r w:rsidRPr="00552AF2">
              <w:rPr>
                <w:rFonts w:asciiTheme="minorBidi" w:hAnsiTheme="minorBidi"/>
                <w:sz w:val="20"/>
                <w:szCs w:val="20"/>
              </w:rPr>
              <w:t>SRHT</w:t>
            </w:r>
            <w:commentRangeEnd w:id="0"/>
            <w:r w:rsidR="00F42FC3">
              <w:rPr>
                <w:rStyle w:val="CommentReference"/>
              </w:rPr>
              <w:commentReference w:id="0"/>
            </w:r>
            <w:commentRangeEnd w:id="1"/>
            <w:r w:rsidR="00CF3F25">
              <w:rPr>
                <w:rStyle w:val="CommentReference"/>
              </w:rPr>
              <w:commentReference w:id="1"/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to </w:t>
            </w:r>
            <w:r w:rsidR="00F42FC3">
              <w:rPr>
                <w:rFonts w:asciiTheme="minorBidi" w:hAnsiTheme="minorBidi"/>
                <w:sz w:val="20"/>
                <w:szCs w:val="20"/>
              </w:rPr>
              <w:t>en</w:t>
            </w:r>
            <w:r w:rsidR="00F42FC3" w:rsidRPr="00552AF2">
              <w:rPr>
                <w:rFonts w:asciiTheme="minorBidi" w:hAnsiTheme="minorBidi"/>
                <w:sz w:val="20"/>
                <w:szCs w:val="20"/>
              </w:rPr>
              <w:t xml:space="preserve">sure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that there is no coercion and/or unacceptable bias</w:t>
            </w:r>
            <w:r w:rsidR="00F42FC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30B88A37" w14:textId="77777777" w:rsidTr="007905CB">
        <w:tc>
          <w:tcPr>
            <w:tcW w:w="1710" w:type="dxa"/>
          </w:tcPr>
          <w:p w14:paraId="738C4CCE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686B6FA6" w14:textId="7D3F6531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pre-arranged transportation to referral facility, team member familiar</w:t>
            </w:r>
            <w:r w:rsidR="002D38BE">
              <w:rPr>
                <w:rFonts w:asciiTheme="minorBidi" w:hAnsiTheme="minorBidi"/>
                <w:sz w:val="20"/>
                <w:szCs w:val="20"/>
              </w:rPr>
              <w:t>ity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with protocols for transfers, and timely follow</w:t>
            </w:r>
            <w:r w:rsidR="002D38BE">
              <w:rPr>
                <w:rFonts w:asciiTheme="minorBidi" w:hAnsiTheme="minorBidi"/>
                <w:sz w:val="20"/>
                <w:szCs w:val="20"/>
              </w:rPr>
              <w:t>-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up of referrals. 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7CA71409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2BC11DCF" w14:textId="77777777" w:rsidTr="007905CB">
        <w:tc>
          <w:tcPr>
            <w:tcW w:w="1710" w:type="dxa"/>
            <w:tcBorders>
              <w:top w:val="single" w:sz="4" w:space="0" w:color="auto"/>
            </w:tcBorders>
          </w:tcPr>
          <w:p w14:paraId="329B3E04" w14:textId="47D63EF3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>Client-</w:t>
            </w:r>
            <w:r w:rsidR="00971839" w:rsidRPr="00552AF2">
              <w:rPr>
                <w:rFonts w:asciiTheme="minorBidi" w:hAnsiTheme="minorBidi"/>
                <w:bCs/>
                <w:sz w:val="20"/>
                <w:szCs w:val="20"/>
              </w:rPr>
              <w:t>centered readine</w:t>
            </w: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>ss</w:t>
            </w:r>
          </w:p>
        </w:tc>
        <w:tc>
          <w:tcPr>
            <w:tcW w:w="5307" w:type="dxa"/>
            <w:tcBorders>
              <w:top w:val="single" w:sz="4" w:space="0" w:color="auto"/>
              <w:bottom w:val="dotted" w:sz="4" w:space="0" w:color="auto"/>
            </w:tcBorders>
          </w:tcPr>
          <w:p w14:paraId="08A6F7B9" w14:textId="410E64B4" w:rsidR="001E60D5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All staff are provided clinical orientation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087A26A3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dotted" w:sz="4" w:space="0" w:color="auto"/>
            </w:tcBorders>
          </w:tcPr>
          <w:p w14:paraId="5128F80E" w14:textId="041A02DD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Facilities must have all required equipment (e.g., insertion equipment), infection prevention equipment</w:t>
            </w:r>
            <w:r w:rsidR="00F42FC3">
              <w:rPr>
                <w:rFonts w:asciiTheme="minorBidi" w:hAnsiTheme="minorBidi"/>
                <w:sz w:val="20"/>
                <w:szCs w:val="20"/>
              </w:rPr>
              <w:t>,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and </w:t>
            </w:r>
            <w:r w:rsidR="00F42FC3">
              <w:rPr>
                <w:rFonts w:asciiTheme="minorBidi" w:hAnsiTheme="minorBidi"/>
                <w:sz w:val="20"/>
                <w:szCs w:val="20"/>
              </w:rPr>
              <w:t xml:space="preserve">a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sufficient supply of nonexpired consumables (e.g., bleach, gloves)</w:t>
            </w:r>
            <w:r w:rsidR="00F42FC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16C7962D" w14:textId="77777777" w:rsidTr="007905CB">
        <w:tc>
          <w:tcPr>
            <w:tcW w:w="1710" w:type="dxa"/>
          </w:tcPr>
          <w:p w14:paraId="2AA1572E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0A9A5668" w14:textId="603A1E16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Appropriate job aids are available and used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5DF18D53" w14:textId="33B2DD1A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All services must be performed in a setting that offers the client privacy (i.e.</w:t>
            </w:r>
            <w:r w:rsidR="00F42FC3">
              <w:rPr>
                <w:rFonts w:asciiTheme="minorBidi" w:hAnsiTheme="minorBidi"/>
                <w:sz w:val="20"/>
                <w:szCs w:val="20"/>
              </w:rPr>
              <w:t>,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the setting is screened from view of others)</w:t>
            </w:r>
            <w:r w:rsidR="00F42FC3">
              <w:rPr>
                <w:rFonts w:asciiTheme="minorBidi" w:hAnsiTheme="minorBidi"/>
                <w:sz w:val="20"/>
                <w:szCs w:val="20"/>
              </w:rPr>
              <w:t>.</w:t>
            </w:r>
            <w:r w:rsidRPr="001F182D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</w:p>
        </w:tc>
      </w:tr>
      <w:tr w:rsidR="001E60D5" w:rsidRPr="00552AF2" w14:paraId="4E81E79B" w14:textId="77777777" w:rsidTr="007905CB">
        <w:trPr>
          <w:trHeight w:val="152"/>
        </w:trPr>
        <w:tc>
          <w:tcPr>
            <w:tcW w:w="1710" w:type="dxa"/>
          </w:tcPr>
          <w:p w14:paraId="01D8FAD8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7C1BD04F" w14:textId="30A123E2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Models are available for demonstration during counseling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52136E79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Precautions must be taken to ensure that client records are stored securely and </w:t>
            </w:r>
            <w:proofErr w:type="spellStart"/>
            <w:r w:rsidRPr="00552AF2">
              <w:rPr>
                <w:rFonts w:asciiTheme="minorBidi" w:hAnsiTheme="minorBidi"/>
                <w:sz w:val="20"/>
                <w:szCs w:val="20"/>
              </w:rPr>
              <w:t>confidentially</w:t>
            </w:r>
            <w:r w:rsidRPr="003E2F23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1E60D5" w:rsidRPr="00552AF2" w14:paraId="3AC16010" w14:textId="77777777" w:rsidTr="007905CB">
        <w:tc>
          <w:tcPr>
            <w:tcW w:w="1710" w:type="dxa"/>
          </w:tcPr>
          <w:p w14:paraId="689F025E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372AC0EB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having emergency medicines and equipment on site.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7E37B901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47A6316B" w14:textId="77777777" w:rsidTr="007905CB">
        <w:tc>
          <w:tcPr>
            <w:tcW w:w="1710" w:type="dxa"/>
            <w:tcBorders>
              <w:top w:val="single" w:sz="4" w:space="0" w:color="auto"/>
            </w:tcBorders>
          </w:tcPr>
          <w:p w14:paraId="278F13AA" w14:textId="2192CC7F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 xml:space="preserve">Interpersonal </w:t>
            </w:r>
            <w:r w:rsidR="00971839" w:rsidRPr="00552AF2">
              <w:rPr>
                <w:rFonts w:asciiTheme="minorBidi" w:hAnsiTheme="minorBidi"/>
                <w:bCs/>
                <w:sz w:val="20"/>
                <w:szCs w:val="20"/>
              </w:rPr>
              <w:t>s</w:t>
            </w: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>kills</w:t>
            </w:r>
          </w:p>
        </w:tc>
        <w:tc>
          <w:tcPr>
            <w:tcW w:w="5307" w:type="dxa"/>
            <w:tcBorders>
              <w:top w:val="single" w:sz="4" w:space="0" w:color="auto"/>
              <w:bottom w:val="dotted" w:sz="4" w:space="0" w:color="auto"/>
            </w:tcBorders>
          </w:tcPr>
          <w:p w14:paraId="36F23008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respectfully welcoming clients and informing clients of estimated waiting time.</w:t>
            </w:r>
          </w:p>
        </w:tc>
        <w:tc>
          <w:tcPr>
            <w:tcW w:w="5223" w:type="dxa"/>
            <w:tcBorders>
              <w:top w:val="single" w:sz="4" w:space="0" w:color="auto"/>
              <w:bottom w:val="dotted" w:sz="4" w:space="0" w:color="auto"/>
            </w:tcBorders>
          </w:tcPr>
          <w:p w14:paraId="0429837E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6C263B68" w14:textId="77777777" w:rsidTr="007905CB">
        <w:tc>
          <w:tcPr>
            <w:tcW w:w="1710" w:type="dxa"/>
          </w:tcPr>
          <w:p w14:paraId="4DC2BBFF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42B31594" w14:textId="195FE9E3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allowing clients to ask questions in counseling session, using appropriate vocabulary</w:t>
            </w:r>
            <w:r w:rsidR="002D38BE">
              <w:rPr>
                <w:rFonts w:asciiTheme="minorBidi" w:hAnsiTheme="minorBidi"/>
                <w:sz w:val="20"/>
                <w:szCs w:val="20"/>
              </w:rPr>
              <w:t>;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discussing STI risks, dual protection, </w:t>
            </w:r>
            <w:r w:rsidR="002D38BE">
              <w:rPr>
                <w:rFonts w:asciiTheme="minorBidi" w:hAnsiTheme="minorBidi"/>
                <w:sz w:val="20"/>
                <w:szCs w:val="20"/>
              </w:rPr>
              <w:t xml:space="preserve">and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lifestyle preferences</w:t>
            </w:r>
            <w:r w:rsidR="002D38BE">
              <w:rPr>
                <w:rFonts w:asciiTheme="minorBidi" w:hAnsiTheme="minorBidi"/>
                <w:sz w:val="20"/>
                <w:szCs w:val="20"/>
              </w:rPr>
              <w:t>;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and informing clients where to access additional information or other methods. 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6B4FB6D7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5472F29D" w14:textId="77777777" w:rsidTr="007905CB">
        <w:tc>
          <w:tcPr>
            <w:tcW w:w="1710" w:type="dxa"/>
          </w:tcPr>
          <w:p w14:paraId="11C1F4CD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58D9253A" w14:textId="7DA06FF8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Composite variable including refraining from discussing client cases in public </w:t>
            </w:r>
            <w:proofErr w:type="spellStart"/>
            <w:r w:rsidRPr="00552AF2">
              <w:rPr>
                <w:rFonts w:asciiTheme="minorBidi" w:hAnsiTheme="minorBidi"/>
                <w:sz w:val="20"/>
                <w:szCs w:val="20"/>
              </w:rPr>
              <w:t>areas</w:t>
            </w:r>
            <w:r w:rsidR="002D38BE">
              <w:rPr>
                <w:rFonts w:asciiTheme="minorBidi" w:hAnsiTheme="minorBidi"/>
                <w:sz w:val="20"/>
                <w:szCs w:val="20"/>
              </w:rPr>
              <w:t>,</w:t>
            </w:r>
            <w:r w:rsidRPr="003E2F23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  <w:proofErr w:type="spellEnd"/>
            <w:r w:rsidRPr="00552AF2">
              <w:rPr>
                <w:rFonts w:asciiTheme="minorBidi" w:hAnsiTheme="minorBidi"/>
                <w:sz w:val="20"/>
                <w:szCs w:val="20"/>
              </w:rPr>
              <w:t xml:space="preserve"> having privacy for registration and payments</w:t>
            </w:r>
            <w:r w:rsidR="002D38BE">
              <w:rPr>
                <w:rFonts w:asciiTheme="minorBidi" w:hAnsiTheme="minorBidi"/>
                <w:sz w:val="20"/>
                <w:szCs w:val="20"/>
              </w:rPr>
              <w:t xml:space="preserve"> and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during consultations and procedures, and keeping clients covered during examinations.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1D760A39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2E3F32D8" w14:textId="77777777" w:rsidTr="007905CB">
        <w:tc>
          <w:tcPr>
            <w:tcW w:w="1710" w:type="dxa"/>
          </w:tcPr>
          <w:p w14:paraId="58D25CEE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194405E2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Composite variable including staff performing basic checks for voluntary informed consent and verifying verbal informed consent for the pill, injectable, or IUD. 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61A26666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020D3C67" w14:textId="77777777" w:rsidTr="007905CB">
        <w:tc>
          <w:tcPr>
            <w:tcW w:w="1710" w:type="dxa"/>
            <w:tcBorders>
              <w:top w:val="single" w:sz="4" w:space="0" w:color="auto"/>
            </w:tcBorders>
          </w:tcPr>
          <w:p w14:paraId="498E4F80" w14:textId="1BF26338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Cs/>
                <w:sz w:val="20"/>
                <w:szCs w:val="20"/>
              </w:rPr>
              <w:lastRenderedPageBreak/>
              <w:t xml:space="preserve">Technical </w:t>
            </w:r>
            <w:r w:rsidR="00971839" w:rsidRPr="00552AF2">
              <w:rPr>
                <w:rFonts w:asciiTheme="minorBidi" w:hAnsiTheme="minorBidi"/>
                <w:bCs/>
                <w:sz w:val="20"/>
                <w:szCs w:val="20"/>
              </w:rPr>
              <w:t>c</w:t>
            </w: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>ompetence</w:t>
            </w:r>
          </w:p>
        </w:tc>
        <w:tc>
          <w:tcPr>
            <w:tcW w:w="5307" w:type="dxa"/>
            <w:tcBorders>
              <w:top w:val="single" w:sz="4" w:space="0" w:color="auto"/>
              <w:bottom w:val="dotted" w:sz="4" w:space="0" w:color="auto"/>
            </w:tcBorders>
          </w:tcPr>
          <w:p w14:paraId="738CC2D4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Composite variable including staff confirming medical eligibility for chosen service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and 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administering a method safely and appropriately when providing the pill, injectable, or IUD. </w:t>
            </w:r>
          </w:p>
        </w:tc>
        <w:tc>
          <w:tcPr>
            <w:tcW w:w="5223" w:type="dxa"/>
            <w:tcBorders>
              <w:top w:val="single" w:sz="4" w:space="0" w:color="auto"/>
              <w:bottom w:val="dotted" w:sz="4" w:space="0" w:color="auto"/>
            </w:tcBorders>
          </w:tcPr>
          <w:p w14:paraId="7A1B3D57" w14:textId="526995F2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All personnel providing IUD or implant insertion/removal in affiliation with the program must have received training from PSI or an accredited organization approved by PSI, and demonstrate competency to qualified PSI</w:t>
            </w:r>
            <w:r w:rsidR="004D2493">
              <w:rPr>
                <w:rFonts w:asciiTheme="minorBidi" w:hAnsiTheme="minorBidi"/>
                <w:sz w:val="20"/>
                <w:szCs w:val="20"/>
              </w:rPr>
              <w:t>-</w:t>
            </w:r>
            <w:r w:rsidRPr="00552AF2">
              <w:rPr>
                <w:rFonts w:asciiTheme="minorBidi" w:hAnsiTheme="minorBidi"/>
                <w:sz w:val="20"/>
                <w:szCs w:val="20"/>
              </w:rPr>
              <w:t>affiliated medical personnel in the procedure in a clinical setting (e.g.</w:t>
            </w:r>
            <w:r w:rsidR="004D2493">
              <w:rPr>
                <w:rFonts w:asciiTheme="minorBidi" w:hAnsiTheme="minorBidi"/>
                <w:sz w:val="20"/>
                <w:szCs w:val="20"/>
              </w:rPr>
              <w:t>,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not only on a model)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1D168A6D" w14:textId="77777777" w:rsidTr="007905CB">
        <w:tc>
          <w:tcPr>
            <w:tcW w:w="1710" w:type="dxa"/>
          </w:tcPr>
          <w:p w14:paraId="50D2F064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475D1647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Providers follow WHO syndromic approach for diagnosis of STIs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592C8C7D" w14:textId="5825B044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Provider must perform services according to Service Delivery Protocols approved by PSI Global Medical Director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62522FEE" w14:textId="77777777" w:rsidTr="007905CB">
        <w:tc>
          <w:tcPr>
            <w:tcW w:w="1710" w:type="dxa"/>
          </w:tcPr>
          <w:p w14:paraId="04C94A79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393AB363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Standardized drug regimens for treatment of STIs are available according to WHO guidelines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1C00B5FB" w14:textId="38E810DF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Providers must properly screen clients for service eligibility, according to PSI’s Service Delivery Protocols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41E399BF" w14:textId="77777777" w:rsidTr="007905CB">
        <w:tc>
          <w:tcPr>
            <w:tcW w:w="1710" w:type="dxa"/>
          </w:tcPr>
          <w:p w14:paraId="06059DD3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20844B65" w14:textId="2A1B5D0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Adequate supplies are given if condoms are requested for contraception or dual protection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0E4D2DD2" w14:textId="39DC11A1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All PSI-affiliated facilities must comply with the minimum facility standards as per the PSI QA Manual and must be approved by a PSI medical representative before beginning service delivery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0FEA1E09" w14:textId="77777777" w:rsidTr="007905CB">
        <w:tc>
          <w:tcPr>
            <w:tcW w:w="1710" w:type="dxa"/>
          </w:tcPr>
          <w:p w14:paraId="538E00AA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09BC5027" w14:textId="76CD9BED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2525E3">
              <w:rPr>
                <w:rFonts w:asciiTheme="minorBidi" w:hAnsiTheme="minorBidi"/>
                <w:sz w:val="20"/>
                <w:szCs w:val="20"/>
              </w:rPr>
              <w:t>The number of facility</w:t>
            </w:r>
            <w:r>
              <w:rPr>
                <w:rFonts w:asciiTheme="minorBidi" w:hAnsiTheme="minorBidi"/>
                <w:sz w:val="20"/>
                <w:szCs w:val="20"/>
              </w:rPr>
              <w:t>-</w:t>
            </w:r>
            <w:r w:rsidRPr="002525E3">
              <w:rPr>
                <w:rFonts w:asciiTheme="minorBidi" w:hAnsiTheme="minorBidi"/>
                <w:sz w:val="20"/>
                <w:szCs w:val="20"/>
              </w:rPr>
              <w:t>acquired infections is monitored and reported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185BAC35" w14:textId="4A9D266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Provider must follow PSI-approved procedures for infection prevention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5FE5FB15" w14:textId="77777777" w:rsidTr="007905CB">
        <w:tc>
          <w:tcPr>
            <w:tcW w:w="1710" w:type="dxa"/>
          </w:tcPr>
          <w:p w14:paraId="238EFC43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3F706AA2" w14:textId="48E3DBF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appropriate use of gloves, gowns, masks</w:t>
            </w:r>
            <w:r w:rsidR="002D38BE">
              <w:rPr>
                <w:rFonts w:asciiTheme="minorBidi" w:hAnsiTheme="minorBidi"/>
                <w:sz w:val="20"/>
                <w:szCs w:val="20"/>
              </w:rPr>
              <w:t>,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and aprons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56B7AFF4" w14:textId="09D814B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Agreements with PSI-affiliated providers must be renewed on an annual basis, pending satisfactory evaluation of provider skills and procedural compliance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14D9D150" w14:textId="77777777" w:rsidTr="007905CB">
        <w:tc>
          <w:tcPr>
            <w:tcW w:w="1710" w:type="dxa"/>
          </w:tcPr>
          <w:p w14:paraId="14DE2D7F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2A8424F3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appropriate use of antiseptics and disinfectants.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2A8A4084" w14:textId="44A0DDCF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Providers and other project-affiliated staff are able to recognize, manage, and report AEs according to PSI mandated procedures (a demonstrated knowledge of signs and symptoms of AEs and a demonstrated knowledge of mandated procedures for handling and reporting</w:t>
            </w:r>
            <w:r w:rsidR="004D2493">
              <w:rPr>
                <w:rFonts w:asciiTheme="minorBidi" w:hAnsiTheme="minorBidi"/>
                <w:sz w:val="20"/>
                <w:szCs w:val="20"/>
              </w:rPr>
              <w:t>).</w:t>
            </w:r>
          </w:p>
        </w:tc>
      </w:tr>
      <w:tr w:rsidR="001E60D5" w:rsidRPr="00552AF2" w14:paraId="44B55441" w14:textId="77777777" w:rsidTr="007905CB">
        <w:tc>
          <w:tcPr>
            <w:tcW w:w="1710" w:type="dxa"/>
          </w:tcPr>
          <w:p w14:paraId="033F96E0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398BB451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following appropriate instrument decontamination and cleaning procedures.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3F914FF6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7934D7D9" w14:textId="77777777" w:rsidTr="007905CB">
        <w:tc>
          <w:tcPr>
            <w:tcW w:w="1710" w:type="dxa"/>
          </w:tcPr>
          <w:p w14:paraId="7B6E0AD1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47A1DF86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following appropriate instrument sterilization and storage procedures.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2808EB3A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19228EC2" w14:textId="77777777" w:rsidTr="007905CB">
        <w:tc>
          <w:tcPr>
            <w:tcW w:w="1710" w:type="dxa"/>
          </w:tcPr>
          <w:p w14:paraId="7B49A07B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529E8A3D" w14:textId="687B73B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Stock officer maintains product list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272A343B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2AB625BF" w14:textId="77777777" w:rsidTr="007905CB">
        <w:tc>
          <w:tcPr>
            <w:tcW w:w="1710" w:type="dxa"/>
          </w:tcPr>
          <w:p w14:paraId="5DCB5B5A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5D7C7258" w14:textId="168F8F9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Supplies are stocked according to </w:t>
            </w:r>
            <w:r w:rsidR="002D38BE" w:rsidRPr="00552AF2">
              <w:rPr>
                <w:rFonts w:asciiTheme="minorBidi" w:hAnsiTheme="minorBidi"/>
                <w:sz w:val="20"/>
                <w:szCs w:val="20"/>
              </w:rPr>
              <w:t>first expire/first o</w:t>
            </w:r>
            <w:r w:rsidRPr="00552AF2">
              <w:rPr>
                <w:rFonts w:asciiTheme="minorBidi" w:hAnsiTheme="minorBidi"/>
                <w:sz w:val="20"/>
                <w:szCs w:val="20"/>
              </w:rPr>
              <w:t>ut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0A3B9455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60D5" w:rsidRPr="00552AF2" w14:paraId="02819D0A" w14:textId="77777777" w:rsidTr="007905CB">
        <w:tc>
          <w:tcPr>
            <w:tcW w:w="1710" w:type="dxa"/>
            <w:tcBorders>
              <w:top w:val="single" w:sz="4" w:space="0" w:color="auto"/>
            </w:tcBorders>
          </w:tcPr>
          <w:p w14:paraId="28D2D1F3" w14:textId="58ACE199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 xml:space="preserve">Information </w:t>
            </w:r>
            <w:r w:rsidR="00971839" w:rsidRPr="00552AF2">
              <w:rPr>
                <w:rFonts w:asciiTheme="minorBidi" w:hAnsiTheme="minorBidi"/>
                <w:bCs/>
                <w:sz w:val="20"/>
                <w:szCs w:val="20"/>
              </w:rPr>
              <w:t>p</w:t>
            </w:r>
            <w:r w:rsidRPr="00552AF2">
              <w:rPr>
                <w:rFonts w:asciiTheme="minorBidi" w:hAnsiTheme="minorBidi"/>
                <w:bCs/>
                <w:sz w:val="20"/>
                <w:szCs w:val="20"/>
              </w:rPr>
              <w:t>rovision</w:t>
            </w:r>
          </w:p>
        </w:tc>
        <w:tc>
          <w:tcPr>
            <w:tcW w:w="5307" w:type="dxa"/>
            <w:tcBorders>
              <w:top w:val="single" w:sz="4" w:space="0" w:color="auto"/>
              <w:bottom w:val="dotted" w:sz="4" w:space="0" w:color="auto"/>
            </w:tcBorders>
          </w:tcPr>
          <w:p w14:paraId="3ACD2EA5" w14:textId="37AA578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reminding women of key points about a method and its use, advice on other short</w:t>
            </w:r>
            <w:r w:rsidR="002D38BE">
              <w:rPr>
                <w:rFonts w:asciiTheme="minorBidi" w:hAnsiTheme="minorBidi"/>
                <w:sz w:val="20"/>
                <w:szCs w:val="20"/>
              </w:rPr>
              <w:t>-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or long</w:t>
            </w:r>
            <w:r w:rsidR="002D38BE">
              <w:rPr>
                <w:rFonts w:asciiTheme="minorBidi" w:hAnsiTheme="minorBidi"/>
                <w:sz w:val="20"/>
                <w:szCs w:val="20"/>
              </w:rPr>
              <w:t>-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acting methods, and when it is appropriate to remove, if necessary, for the condom, pill, injectable, or </w:t>
            </w:r>
            <w:proofErr w:type="spellStart"/>
            <w:r w:rsidRPr="00552AF2">
              <w:rPr>
                <w:rFonts w:asciiTheme="minorBidi" w:hAnsiTheme="minorBidi"/>
                <w:sz w:val="20"/>
                <w:szCs w:val="20"/>
              </w:rPr>
              <w:t>IUD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  <w:r w:rsidRPr="003E2F23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bottom w:val="dotted" w:sz="4" w:space="0" w:color="auto"/>
            </w:tcBorders>
          </w:tcPr>
          <w:p w14:paraId="6C8341D6" w14:textId="66DE393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Clients must receive, either from a designated counselor or the provider, appropriate counseling that includes comprehensible information about the benefits, risks, and side </w:t>
            </w:r>
            <w:r w:rsidRPr="00552AF2">
              <w:rPr>
                <w:rFonts w:asciiTheme="minorBidi" w:hAnsiTheme="minorBidi"/>
                <w:sz w:val="20"/>
                <w:szCs w:val="20"/>
              </w:rPr>
              <w:lastRenderedPageBreak/>
              <w:t>effects of any chosen modern method</w:t>
            </w:r>
            <w:r w:rsidR="004D2493">
              <w:rPr>
                <w:rFonts w:asciiTheme="minorBidi" w:hAnsiTheme="minorBidi"/>
                <w:sz w:val="20"/>
                <w:szCs w:val="20"/>
              </w:rPr>
              <w:t>,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 prior to receiving that </w:t>
            </w:r>
            <w:proofErr w:type="spellStart"/>
            <w:r w:rsidRPr="00552AF2">
              <w:rPr>
                <w:rFonts w:asciiTheme="minorBidi" w:hAnsiTheme="minorBidi"/>
                <w:sz w:val="20"/>
                <w:szCs w:val="20"/>
              </w:rPr>
              <w:t>method</w:t>
            </w:r>
            <w:r w:rsidRPr="003E2F23"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1E60D5" w:rsidRPr="00552AF2" w14:paraId="3420E760" w14:textId="77777777" w:rsidTr="007905CB">
        <w:tc>
          <w:tcPr>
            <w:tcW w:w="1710" w:type="dxa"/>
          </w:tcPr>
          <w:p w14:paraId="41724A7F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58A0B704" w14:textId="7645F07B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Composite variable including providing documentation for clients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2899ECDF" w14:textId="7B656ABD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The facility must provide the client with information on whom to call or where to go in case of emergency or if she has questions or concerns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21428D17" w14:textId="77777777" w:rsidTr="007905CB">
        <w:tc>
          <w:tcPr>
            <w:tcW w:w="1710" w:type="dxa"/>
          </w:tcPr>
          <w:p w14:paraId="6D5928D6" w14:textId="77777777" w:rsidR="001E60D5" w:rsidRPr="00552AF2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dotted" w:sz="4" w:space="0" w:color="auto"/>
              <w:bottom w:val="dotted" w:sz="4" w:space="0" w:color="auto"/>
            </w:tcBorders>
          </w:tcPr>
          <w:p w14:paraId="10808737" w14:textId="7427A866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>Clients who receive injectables are told to return for follow</w:t>
            </w:r>
            <w:r w:rsidR="002D38BE">
              <w:rPr>
                <w:rFonts w:asciiTheme="minorBidi" w:hAnsiTheme="minorBidi"/>
                <w:sz w:val="20"/>
                <w:szCs w:val="20"/>
              </w:rPr>
              <w:t>-</w:t>
            </w:r>
            <w:r w:rsidRPr="00552AF2">
              <w:rPr>
                <w:rFonts w:asciiTheme="minorBidi" w:hAnsiTheme="minorBidi"/>
                <w:sz w:val="20"/>
                <w:szCs w:val="20"/>
              </w:rPr>
              <w:t>up visits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</w:tcPr>
          <w:p w14:paraId="2DD00AFE" w14:textId="313DD7AE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If the provider is not available or not qualified to provide appropriate follow-up care (as in </w:t>
            </w:r>
            <w:r w:rsidR="004D2493"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Pr="00552AF2">
              <w:rPr>
                <w:rFonts w:asciiTheme="minorBidi" w:hAnsiTheme="minorBidi"/>
                <w:sz w:val="20"/>
                <w:szCs w:val="20"/>
              </w:rPr>
              <w:t xml:space="preserve">case of an adverse event), </w:t>
            </w:r>
            <w:r w:rsidR="004D2493"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Pr="00552AF2">
              <w:rPr>
                <w:rFonts w:asciiTheme="minorBidi" w:hAnsiTheme="minorBidi"/>
                <w:sz w:val="20"/>
                <w:szCs w:val="20"/>
              </w:rPr>
              <w:t>client must be informed of one or more PSI-approved referral sites for follow-up care</w:t>
            </w:r>
            <w:r w:rsidR="004D249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1E60D5" w:rsidRPr="00552AF2" w14:paraId="2E534D2C" w14:textId="77777777" w:rsidTr="00790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left w:val="nil"/>
              <w:right w:val="nil"/>
            </w:tcBorders>
          </w:tcPr>
          <w:p w14:paraId="112B6487" w14:textId="67605654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 xml:space="preserve">Structural </w:t>
            </w:r>
            <w:r w:rsidR="00971839">
              <w:rPr>
                <w:rFonts w:asciiTheme="minorBidi" w:hAnsiTheme="minorBidi"/>
                <w:bCs/>
                <w:sz w:val="20"/>
                <w:szCs w:val="20"/>
              </w:rPr>
              <w:t>p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rivacy</w:t>
            </w:r>
          </w:p>
        </w:tc>
        <w:tc>
          <w:tcPr>
            <w:tcW w:w="5307" w:type="dxa"/>
            <w:tcBorders>
              <w:left w:val="nil"/>
              <w:right w:val="nil"/>
            </w:tcBorders>
          </w:tcPr>
          <w:p w14:paraId="48BC5939" w14:textId="205FA7F2" w:rsidR="001E60D5" w:rsidRPr="00F977F1" w:rsidRDefault="001E60D5" w:rsidP="007905CB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552AF2">
              <w:rPr>
                <w:rFonts w:asciiTheme="minorBidi" w:hAnsiTheme="minorBidi"/>
                <w:sz w:val="20"/>
                <w:szCs w:val="20"/>
              </w:rPr>
              <w:t xml:space="preserve">Composite variable including having adequate space and privacy for clients receiving the pill, injectable, or </w:t>
            </w:r>
            <w:proofErr w:type="spellStart"/>
            <w:r w:rsidRPr="00552AF2">
              <w:rPr>
                <w:rFonts w:asciiTheme="minorBidi" w:hAnsiTheme="minorBidi"/>
                <w:sz w:val="20"/>
                <w:szCs w:val="20"/>
              </w:rPr>
              <w:t>IUD</w:t>
            </w:r>
            <w:r w:rsidR="002D38BE">
              <w:rPr>
                <w:rFonts w:asciiTheme="minorBidi" w:hAnsiTheme="minorBidi"/>
                <w:sz w:val="20"/>
                <w:szCs w:val="20"/>
              </w:rPr>
              <w:t>.</w:t>
            </w:r>
            <w:r>
              <w:rPr>
                <w:rFonts w:asciiTheme="minorBidi" w:hAnsiTheme="minorBidi"/>
                <w:sz w:val="20"/>
                <w:szCs w:val="20"/>
                <w:vertAlign w:val="superscript"/>
              </w:rPr>
              <w:t>a</w:t>
            </w:r>
            <w:proofErr w:type="spellEnd"/>
            <w:r w:rsidRPr="00552AF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5223" w:type="dxa"/>
            <w:tcBorders>
              <w:left w:val="nil"/>
              <w:right w:val="nil"/>
            </w:tcBorders>
          </w:tcPr>
          <w:p w14:paraId="7CB7B2CD" w14:textId="77777777" w:rsidR="001E60D5" w:rsidRPr="00552AF2" w:rsidRDefault="001E60D5" w:rsidP="007905C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3172672" w14:textId="52D8DD8D" w:rsidR="002D38BE" w:rsidRPr="00270A40" w:rsidRDefault="002D38BE" w:rsidP="001E60D5">
      <w:pPr>
        <w:pStyle w:val="Bibliography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Abbreviations: </w:t>
      </w:r>
      <w:r w:rsidR="00CF3F25">
        <w:rPr>
          <w:rFonts w:asciiTheme="minorBidi" w:hAnsiTheme="minorBidi"/>
          <w:sz w:val="20"/>
          <w:szCs w:val="20"/>
        </w:rPr>
        <w:t xml:space="preserve">AE, adverse event; </w:t>
      </w:r>
      <w:r>
        <w:rPr>
          <w:rFonts w:asciiTheme="minorBidi" w:hAnsiTheme="minorBidi"/>
          <w:sz w:val="20"/>
          <w:szCs w:val="20"/>
        </w:rPr>
        <w:t xml:space="preserve">IUD, intrauterine device; </w:t>
      </w:r>
      <w:r w:rsidR="004D2493">
        <w:rPr>
          <w:rFonts w:asciiTheme="minorBidi" w:hAnsiTheme="minorBidi"/>
          <w:sz w:val="20"/>
          <w:szCs w:val="20"/>
        </w:rPr>
        <w:t xml:space="preserve">PSI, </w:t>
      </w:r>
      <w:r w:rsidR="004D2493" w:rsidRPr="004D2493">
        <w:rPr>
          <w:rFonts w:asciiTheme="minorBidi" w:hAnsiTheme="minorBidi"/>
          <w:sz w:val="20"/>
          <w:szCs w:val="20"/>
        </w:rPr>
        <w:t>Population Services International</w:t>
      </w:r>
      <w:r w:rsidR="004D2493">
        <w:rPr>
          <w:rFonts w:asciiTheme="minorBidi" w:hAnsiTheme="minorBidi"/>
          <w:sz w:val="20"/>
          <w:szCs w:val="20"/>
        </w:rPr>
        <w:t xml:space="preserve">; </w:t>
      </w:r>
      <w:r w:rsidR="00CF3F25">
        <w:rPr>
          <w:rFonts w:asciiTheme="minorBidi" w:hAnsiTheme="minorBidi"/>
          <w:sz w:val="20"/>
          <w:szCs w:val="20"/>
        </w:rPr>
        <w:t xml:space="preserve">SRHT, Sexual and Reproductive Health Team; </w:t>
      </w:r>
      <w:r>
        <w:rPr>
          <w:rFonts w:asciiTheme="minorBidi" w:hAnsiTheme="minorBidi"/>
          <w:sz w:val="20"/>
          <w:szCs w:val="20"/>
        </w:rPr>
        <w:t>STI, sexually transmitted infection; WHO, World Health Organization.</w:t>
      </w:r>
    </w:p>
    <w:p w14:paraId="4CC45DA3" w14:textId="603BA3D8" w:rsidR="001E60D5" w:rsidRDefault="001E60D5" w:rsidP="001E60D5">
      <w:pPr>
        <w:pStyle w:val="Bibliography"/>
        <w:rPr>
          <w:rFonts w:ascii="Times" w:hAnsi="Times"/>
          <w:sz w:val="20"/>
          <w:szCs w:val="20"/>
        </w:rPr>
      </w:pPr>
      <w:r>
        <w:rPr>
          <w:rFonts w:asciiTheme="minorBidi" w:hAnsiTheme="minorBidi"/>
          <w:sz w:val="20"/>
          <w:szCs w:val="20"/>
          <w:vertAlign w:val="superscript"/>
        </w:rPr>
        <w:t>a</w:t>
      </w:r>
      <w:r w:rsidR="0054174E">
        <w:rPr>
          <w:rFonts w:asciiTheme="minorBidi" w:hAnsiTheme="minorBidi"/>
          <w:sz w:val="20"/>
          <w:szCs w:val="20"/>
          <w:vertAlign w:val="superscript"/>
        </w:rPr>
        <w:t xml:space="preserve"> </w:t>
      </w:r>
      <w:r>
        <w:rPr>
          <w:rFonts w:ascii="Times" w:hAnsi="Times"/>
          <w:sz w:val="20"/>
          <w:szCs w:val="20"/>
        </w:rPr>
        <w:t xml:space="preserve">Variables used in sensitivity analyses to assess the relationship between individual quality items of interest and discontinuation (see </w:t>
      </w:r>
      <w:r w:rsidR="00CF3F25">
        <w:rPr>
          <w:rFonts w:ascii="Times" w:hAnsi="Times"/>
          <w:sz w:val="20"/>
          <w:szCs w:val="20"/>
        </w:rPr>
        <w:t>Supplement</w:t>
      </w:r>
      <w:r>
        <w:rPr>
          <w:rFonts w:ascii="Times" w:hAnsi="Times"/>
          <w:sz w:val="20"/>
          <w:szCs w:val="20"/>
        </w:rPr>
        <w:t xml:space="preserve"> 2)</w:t>
      </w:r>
      <w:r w:rsidR="00971839">
        <w:rPr>
          <w:rFonts w:ascii="Times" w:hAnsi="Times"/>
          <w:sz w:val="20"/>
          <w:szCs w:val="20"/>
        </w:rPr>
        <w:t>.</w:t>
      </w:r>
    </w:p>
    <w:p w14:paraId="0C0F99E0" w14:textId="77777777" w:rsidR="00B52C3C" w:rsidRDefault="00852784"/>
    <w:sectPr w:rsidR="00B52C3C" w:rsidSect="001E6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ditor" w:date="2020-07-28T20:48:00Z" w:initials="ED">
    <w:p w14:paraId="0F71E96D" w14:textId="35CCD195" w:rsidR="00F42FC3" w:rsidRDefault="00F42FC3">
      <w:pPr>
        <w:pStyle w:val="CommentText"/>
      </w:pPr>
      <w:r>
        <w:rPr>
          <w:rStyle w:val="CommentReference"/>
        </w:rPr>
        <w:annotationRef/>
      </w:r>
      <w:r>
        <w:t xml:space="preserve">What is SRHT? Please write out the term here </w:t>
      </w:r>
      <w:proofErr w:type="spellStart"/>
      <w:r>
        <w:t>here</w:t>
      </w:r>
      <w:proofErr w:type="spellEnd"/>
      <w:r>
        <w:t>, or add SRHT to the abbreviations footnote with a definition.</w:t>
      </w:r>
    </w:p>
  </w:comment>
  <w:comment w:id="1" w:author="Nirali Chakraborty" w:date="2020-07-31T12:50:00Z" w:initials="NC">
    <w:p w14:paraId="0CE1226F" w14:textId="1D27E52A" w:rsidR="00CF3F25" w:rsidRDefault="00CF3F25">
      <w:pPr>
        <w:pStyle w:val="CommentText"/>
      </w:pPr>
      <w:r>
        <w:rPr>
          <w:rStyle w:val="CommentReference"/>
        </w:rPr>
        <w:annotationRef/>
      </w:r>
      <w:r>
        <w:t xml:space="preserve">Added to abbreviations.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71E96D" w15:done="0"/>
  <w15:commentEx w15:paraId="0CE1226F" w15:paraIdParent="0F71E9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0DB7" w16cex:dateUtc="2020-07-29T0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71E96D" w16cid:durableId="22CB0DB7"/>
  <w16cid:commentId w16cid:paraId="0CE1226F" w16cid:durableId="22CE92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3CD50" w14:textId="77777777" w:rsidR="00852784" w:rsidRDefault="00852784" w:rsidP="003A2C9A">
      <w:r>
        <w:separator/>
      </w:r>
    </w:p>
  </w:endnote>
  <w:endnote w:type="continuationSeparator" w:id="0">
    <w:p w14:paraId="6F26CE80" w14:textId="77777777" w:rsidR="00852784" w:rsidRDefault="00852784" w:rsidP="003A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0162" w14:textId="77777777" w:rsidR="003A2C9A" w:rsidRDefault="003A2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4FA4" w14:textId="77777777" w:rsidR="003A2C9A" w:rsidRDefault="003A2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7E79" w14:textId="77777777" w:rsidR="003A2C9A" w:rsidRDefault="003A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4E4E" w14:textId="77777777" w:rsidR="00852784" w:rsidRDefault="00852784" w:rsidP="003A2C9A">
      <w:r>
        <w:separator/>
      </w:r>
    </w:p>
  </w:footnote>
  <w:footnote w:type="continuationSeparator" w:id="0">
    <w:p w14:paraId="268DFD6A" w14:textId="77777777" w:rsidR="00852784" w:rsidRDefault="00852784" w:rsidP="003A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8312" w14:textId="77777777" w:rsidR="003A2C9A" w:rsidRDefault="003A2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DC05" w14:textId="3CD3A173" w:rsidR="003A2C9A" w:rsidRPr="00292B4B" w:rsidRDefault="003A2C9A" w:rsidP="003A2C9A">
    <w:pPr>
      <w:pStyle w:val="GHSPBodyText"/>
    </w:pPr>
    <w:r>
      <w:rPr>
        <w:color w:val="000000" w:themeColor="text1"/>
      </w:rPr>
      <w:t xml:space="preserve">Supplement to: Chang KT, Chakraborty NM, </w:t>
    </w:r>
    <w:proofErr w:type="spellStart"/>
    <w:r>
      <w:rPr>
        <w:color w:val="000000" w:themeColor="text1"/>
      </w:rPr>
      <w:t>Kalamar</w:t>
    </w:r>
    <w:proofErr w:type="spellEnd"/>
    <w:r>
      <w:rPr>
        <w:color w:val="000000" w:themeColor="text1"/>
      </w:rPr>
      <w:t xml:space="preserve"> AM, et al. </w:t>
    </w:r>
    <w:r w:rsidRPr="00292B4B">
      <w:t>Measuring service quality and assessing its relationship to contraceptive discontinuation: a prospective cohort study in Pakistan and Uganda</w:t>
    </w:r>
    <w:r>
      <w:t xml:space="preserve">. </w:t>
    </w:r>
    <w:r w:rsidRPr="00292B4B">
      <w:rPr>
        <w:i/>
        <w:iCs/>
        <w:color w:val="000000" w:themeColor="text1"/>
      </w:rPr>
      <w:t xml:space="preserve">Glob Health Sci </w:t>
    </w:r>
    <w:proofErr w:type="spellStart"/>
    <w:r w:rsidRPr="00292B4B">
      <w:rPr>
        <w:i/>
        <w:iCs/>
        <w:color w:val="000000" w:themeColor="text1"/>
      </w:rPr>
      <w:t>Pract</w:t>
    </w:r>
    <w:proofErr w:type="spellEnd"/>
    <w:r w:rsidRPr="00292B4B">
      <w:rPr>
        <w:color w:val="000000" w:themeColor="text1"/>
      </w:rPr>
      <w:t xml:space="preserve">. </w:t>
    </w:r>
    <w:r>
      <w:rPr>
        <w:color w:val="000000" w:themeColor="text1"/>
      </w:rPr>
      <w:t>2020</w:t>
    </w:r>
    <w:r w:rsidRPr="00292B4B">
      <w:rPr>
        <w:color w:val="000000" w:themeColor="text1"/>
      </w:rPr>
      <w:t>;</w:t>
    </w:r>
    <w:r>
      <w:rPr>
        <w:color w:val="000000" w:themeColor="text1"/>
      </w:rPr>
      <w:t>8</w:t>
    </w:r>
    <w:r w:rsidRPr="00292B4B">
      <w:rPr>
        <w:color w:val="000000" w:themeColor="text1"/>
      </w:rPr>
      <w:t>(</w:t>
    </w:r>
    <w:r>
      <w:rPr>
        <w:color w:val="000000" w:themeColor="text1"/>
      </w:rPr>
      <w:t>3</w:t>
    </w:r>
    <w:r w:rsidRPr="00292B4B">
      <w:rPr>
        <w:color w:val="000000" w:themeColor="text1"/>
      </w:rPr>
      <w:t xml:space="preserve">). </w:t>
    </w:r>
    <w:hyperlink r:id="rId1" w:history="1">
      <w:r w:rsidRPr="00A47550">
        <w:rPr>
          <w:rStyle w:val="Hyperlink"/>
          <w:rFonts w:eastAsia="Trebuchet MS"/>
        </w:rPr>
        <w:t>https://doi.org/10.9745/GHSP-D-20-00105</w:t>
      </w:r>
    </w:hyperlink>
    <w:r w:rsidRPr="00292B4B">
      <w:rPr>
        <w:rFonts w:eastAsia="Trebuchet MS"/>
        <w:color w:val="000000" w:themeColor="text1"/>
      </w:rPr>
      <w:t xml:space="preserve"> </w:t>
    </w:r>
  </w:p>
  <w:p w14:paraId="328D9CB8" w14:textId="77777777" w:rsidR="003A2C9A" w:rsidRDefault="003A2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BE18" w14:textId="77777777" w:rsidR="003A2C9A" w:rsidRDefault="003A2C9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">
    <w15:presenceInfo w15:providerId="None" w15:userId="Editor"/>
  </w15:person>
  <w15:person w15:author="Nirali Chakraborty">
    <w15:presenceInfo w15:providerId="None" w15:userId="Nirali Chakrabor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D5"/>
    <w:rsid w:val="001E60D5"/>
    <w:rsid w:val="00270A40"/>
    <w:rsid w:val="002D38BE"/>
    <w:rsid w:val="002E6A5B"/>
    <w:rsid w:val="003A2C9A"/>
    <w:rsid w:val="004541A9"/>
    <w:rsid w:val="004D2493"/>
    <w:rsid w:val="0054174E"/>
    <w:rsid w:val="00582393"/>
    <w:rsid w:val="006B5779"/>
    <w:rsid w:val="00761DEB"/>
    <w:rsid w:val="00771A30"/>
    <w:rsid w:val="00832CF6"/>
    <w:rsid w:val="00852784"/>
    <w:rsid w:val="00971839"/>
    <w:rsid w:val="00CF3F25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C2CE"/>
  <w15:chartTrackingRefBased/>
  <w15:docId w15:val="{8217CA20-5F5F-2F43-A3C4-3AD6DE8B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1E60D5"/>
  </w:style>
  <w:style w:type="table" w:styleId="TableGrid">
    <w:name w:val="Table Grid"/>
    <w:basedOn w:val="TableNormal"/>
    <w:uiPriority w:val="59"/>
    <w:rsid w:val="001E60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A2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9A"/>
    <w:rPr>
      <w:rFonts w:eastAsiaTheme="minorEastAsia"/>
    </w:rPr>
  </w:style>
  <w:style w:type="paragraph" w:customStyle="1" w:styleId="GHSPBodyText">
    <w:name w:val="GHSP Body Text"/>
    <w:qFormat/>
    <w:rsid w:val="003A2C9A"/>
    <w:pPr>
      <w:spacing w:after="200" w:line="276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3A2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3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83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3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9745/GHSP-D-20-00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Chang</dc:creator>
  <cp:keywords/>
  <dc:description/>
  <cp:lastModifiedBy>Sonia Abraham</cp:lastModifiedBy>
  <cp:revision>2</cp:revision>
  <dcterms:created xsi:type="dcterms:W3CDTF">2020-08-03T20:36:00Z</dcterms:created>
  <dcterms:modified xsi:type="dcterms:W3CDTF">2020-08-03T20:36:00Z</dcterms:modified>
</cp:coreProperties>
</file>